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97E1" w14:textId="1140CA96" w:rsidR="002407AF" w:rsidRDefault="00264FE9" w:rsidP="002407AF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170BB" wp14:editId="1AE8B181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865495" cy="34036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54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D8133" w14:textId="77777777" w:rsidR="00264FE9" w:rsidRPr="006A7CCB" w:rsidRDefault="00264FE9" w:rsidP="00264FE9">
                            <w:pPr>
                              <w:jc w:val="center"/>
                              <w:rPr>
                                <w:rFonts w:ascii="12 Frutiger* 55 Roman   05103" w:hAnsi="12 Frutiger* 55 Roman   05103"/>
                                <w:b/>
                              </w:rPr>
                            </w:pPr>
                            <w:r w:rsidRPr="006A7CCB">
                              <w:rPr>
                                <w:rFonts w:ascii="12 Frutiger* 55 Roman   05103" w:hAnsi="12 Frutiger* 55 Roman   05103"/>
                                <w:b/>
                              </w:rPr>
                              <w:t>Improved methods and actionable tools for enhancing HTA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170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1.55pt;width:461.8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" filled="f" stroked="f">
                <v:textbox>
                  <w:txbxContent>
                    <w:p w14:paraId="692D8133" w14:textId="77777777" w:rsidR="00264FE9" w:rsidRPr="006A7CCB" w:rsidRDefault="00264FE9" w:rsidP="00264FE9">
                      <w:pPr>
                        <w:jc w:val="center"/>
                        <w:rPr>
                          <w:rFonts w:ascii="12 Frutiger* 55 Roman   05103" w:hAnsi="12 Frutiger* 55 Roman   05103"/>
                          <w:b/>
                        </w:rPr>
                      </w:pPr>
                      <w:r w:rsidRPr="006A7CCB">
                        <w:rPr>
                          <w:rFonts w:ascii="12 Frutiger* 55 Roman   05103" w:hAnsi="12 Frutiger* 55 Roman   05103"/>
                          <w:b/>
                        </w:rPr>
                        <w:t>Improved methods and actionable tools for enhancing HTA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E8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B5B934" wp14:editId="12F83C66">
            <wp:simplePos x="0" y="0"/>
            <wp:positionH relativeFrom="column">
              <wp:posOffset>1974850</wp:posOffset>
            </wp:positionH>
            <wp:positionV relativeFrom="page">
              <wp:posOffset>698500</wp:posOffset>
            </wp:positionV>
            <wp:extent cx="1993900" cy="558165"/>
            <wp:effectExtent l="38100" t="38100" r="44450" b="32385"/>
            <wp:wrapTight wrapText="bothSides">
              <wp:wrapPolygon edited="0">
                <wp:start x="-413" y="-1474"/>
                <wp:lineTo x="-413" y="22116"/>
                <wp:lineTo x="21875" y="22116"/>
                <wp:lineTo x="21875" y="-1474"/>
                <wp:lineTo x="-413" y="-14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A-logo-400x261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5816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208F0" w14:textId="7B59F846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</w:p>
    <w:p w14:paraId="79CBF885" w14:textId="1659E206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</w:p>
    <w:p w14:paraId="2534270C" w14:textId="77777777" w:rsidR="00264FE9" w:rsidRDefault="00264FE9" w:rsidP="00B16E88">
      <w:pPr>
        <w:pStyle w:val="Header"/>
        <w:jc w:val="center"/>
        <w:rPr>
          <w:b/>
          <w:sz w:val="28"/>
          <w:szCs w:val="28"/>
        </w:rPr>
      </w:pPr>
    </w:p>
    <w:p w14:paraId="2109F25D" w14:textId="4AB1E1E7" w:rsidR="00B16E88" w:rsidRPr="00951760" w:rsidRDefault="00B16E88" w:rsidP="00B16E88">
      <w:pPr>
        <w:pStyle w:val="Header"/>
        <w:jc w:val="center"/>
        <w:rPr>
          <w:b/>
          <w:sz w:val="28"/>
          <w:szCs w:val="28"/>
        </w:rPr>
      </w:pPr>
      <w:r w:rsidRPr="00951760">
        <w:rPr>
          <w:b/>
          <w:sz w:val="28"/>
          <w:szCs w:val="28"/>
        </w:rPr>
        <w:t>Template for Adaptation by HTA Bodies</w:t>
      </w:r>
    </w:p>
    <w:p w14:paraId="43C75774" w14:textId="77777777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</w:p>
    <w:p w14:paraId="3CD9766D" w14:textId="77777777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</w:p>
    <w:p w14:paraId="3D1AE686" w14:textId="77777777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</w:p>
    <w:p w14:paraId="4C0A691D" w14:textId="77777777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sz w:val="28"/>
          <w:szCs w:val="28"/>
        </w:rPr>
      </w:pPr>
      <w:r w:rsidRPr="00B3205E">
        <w:rPr>
          <w:caps/>
          <w:sz w:val="28"/>
          <w:szCs w:val="28"/>
        </w:rPr>
        <w:t>Monitoring committee</w:t>
      </w:r>
      <w:r w:rsidRPr="007814FA">
        <w:rPr>
          <w:sz w:val="28"/>
          <w:szCs w:val="28"/>
        </w:rPr>
        <w:t xml:space="preserve"> </w:t>
      </w:r>
      <w:r w:rsidRPr="00B3205E">
        <w:rPr>
          <w:sz w:val="28"/>
          <w:szCs w:val="28"/>
        </w:rPr>
        <w:t>TERMS OF REFERENCE</w:t>
      </w:r>
      <w:r w:rsidRPr="007814FA">
        <w:rPr>
          <w:sz w:val="28"/>
          <w:szCs w:val="28"/>
        </w:rPr>
        <w:t xml:space="preserve"> </w:t>
      </w:r>
    </w:p>
    <w:p w14:paraId="08321E87" w14:textId="29865407" w:rsidR="0074542B" w:rsidRDefault="00B16E88" w:rsidP="0074542B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  <w:r w:rsidRPr="00105A57">
        <w:rPr>
          <w:sz w:val="28"/>
          <w:szCs w:val="28"/>
        </w:rPr>
        <w:t xml:space="preserve"> FOR </w:t>
      </w:r>
      <w:r w:rsidR="00105A57" w:rsidRPr="00105A57">
        <w:rPr>
          <w:caps/>
          <w:sz w:val="28"/>
          <w:szCs w:val="28"/>
        </w:rPr>
        <w:t>A</w:t>
      </w:r>
      <w:r w:rsidR="0074542B">
        <w:rPr>
          <w:caps/>
          <w:sz w:val="28"/>
          <w:szCs w:val="28"/>
        </w:rPr>
        <w:t>n</w:t>
      </w:r>
      <w:r w:rsidR="00105A57" w:rsidRPr="00105A57">
        <w:rPr>
          <w:caps/>
          <w:sz w:val="28"/>
          <w:szCs w:val="28"/>
        </w:rPr>
        <w:t xml:space="preserve"> </w:t>
      </w:r>
      <w:r w:rsidR="0074542B">
        <w:rPr>
          <w:caps/>
          <w:sz w:val="28"/>
          <w:szCs w:val="28"/>
        </w:rPr>
        <w:t>Outcomes-Based Managed Entry Agreement</w:t>
      </w:r>
    </w:p>
    <w:p w14:paraId="38B42CD5" w14:textId="5465FC9B" w:rsidR="00B16E88" w:rsidRPr="00105A57" w:rsidRDefault="0074542B" w:rsidP="00105A57">
      <w:pPr>
        <w:pStyle w:val="Title2"/>
        <w:tabs>
          <w:tab w:val="left" w:pos="1125"/>
          <w:tab w:val="center" w:pos="4156"/>
        </w:tabs>
        <w:spacing w:before="0" w:after="0"/>
        <w:rPr>
          <w:bCs w:val="0"/>
          <w:i/>
          <w:iCs/>
          <w:highlight w:val="yellow"/>
        </w:rPr>
      </w:pPr>
      <w:r>
        <w:rPr>
          <w:sz w:val="28"/>
          <w:szCs w:val="28"/>
        </w:rPr>
        <w:t xml:space="preserve">OF A </w:t>
      </w:r>
      <w:r w:rsidR="00B16E88" w:rsidRPr="00105A57">
        <w:rPr>
          <w:sz w:val="28"/>
          <w:szCs w:val="28"/>
        </w:rPr>
        <w:t xml:space="preserve">RARE DISEASE TREATMENT </w:t>
      </w:r>
    </w:p>
    <w:p w14:paraId="5FAAA144" w14:textId="77777777" w:rsidR="00105A57" w:rsidRDefault="00105A57" w:rsidP="00B16E88">
      <w:pPr>
        <w:pStyle w:val="NICEnormal"/>
        <w:spacing w:after="0" w:line="240" w:lineRule="auto"/>
        <w:rPr>
          <w:rFonts w:cs="Arial"/>
          <w:bCs/>
          <w:i/>
          <w:iCs/>
          <w:color w:val="808080" w:themeColor="background1" w:themeShade="80"/>
          <w:highlight w:val="yellow"/>
        </w:rPr>
      </w:pPr>
    </w:p>
    <w:p w14:paraId="498722C5" w14:textId="5FB7CBF5" w:rsidR="00105A57" w:rsidRPr="00105A57" w:rsidRDefault="00105A57" w:rsidP="00105A57">
      <w:pPr>
        <w:pStyle w:val="NICEnormal"/>
        <w:spacing w:after="0" w:line="240" w:lineRule="auto"/>
        <w:jc w:val="center"/>
        <w:rPr>
          <w:rFonts w:cs="Arial"/>
          <w:b/>
        </w:rPr>
      </w:pPr>
      <w:r w:rsidRPr="00105A57">
        <w:rPr>
          <w:rFonts w:cs="Arial"/>
          <w:b/>
        </w:rPr>
        <w:t xml:space="preserve">March 2021 </w:t>
      </w:r>
    </w:p>
    <w:p w14:paraId="4B7991F6" w14:textId="2FF9A6B7" w:rsidR="00B16E88" w:rsidRDefault="00B16E88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</w:p>
    <w:p w14:paraId="177D7B5F" w14:textId="77777777" w:rsidR="00105A57" w:rsidRDefault="00105A57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</w:p>
    <w:p w14:paraId="4F84CDAA" w14:textId="647069AA" w:rsidR="00105A57" w:rsidRDefault="00B16E88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  <w:r w:rsidRPr="00B16E88">
        <w:rPr>
          <w:rFonts w:cs="Arial"/>
          <w:bCs/>
          <w:i/>
          <w:iCs/>
          <w:color w:val="000000" w:themeColor="text1"/>
        </w:rPr>
        <w:t xml:space="preserve">This template provides an outline terms of reference for </w:t>
      </w:r>
      <w:r w:rsidR="0074542B">
        <w:rPr>
          <w:rFonts w:cs="Arial"/>
          <w:bCs/>
          <w:i/>
          <w:iCs/>
          <w:color w:val="000000" w:themeColor="text1"/>
        </w:rPr>
        <w:t>the</w:t>
      </w:r>
      <w:r w:rsidRPr="00B16E88">
        <w:rPr>
          <w:rFonts w:cs="Arial"/>
          <w:bCs/>
          <w:i/>
          <w:iCs/>
          <w:color w:val="000000" w:themeColor="text1"/>
        </w:rPr>
        <w:t xml:space="preserve"> “Monitoring Committee” of an Outcomes-Based Managed Entry Agreement (OBMEA) of a rare disease treatment. </w:t>
      </w:r>
    </w:p>
    <w:p w14:paraId="188F3DC5" w14:textId="77777777" w:rsidR="00105A57" w:rsidRDefault="00105A57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</w:p>
    <w:p w14:paraId="7328B6F3" w14:textId="4A417513" w:rsidR="00B16E88" w:rsidRDefault="00B16E88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  <w:r w:rsidRPr="00B16E88">
        <w:rPr>
          <w:rFonts w:cs="Arial"/>
          <w:bCs/>
          <w:i/>
          <w:iCs/>
          <w:color w:val="000000" w:themeColor="text1"/>
        </w:rPr>
        <w:t>It uses terminology that comes from the</w:t>
      </w:r>
      <w:r w:rsidR="00105A57">
        <w:rPr>
          <w:rFonts w:cs="Arial"/>
          <w:bCs/>
          <w:i/>
          <w:iCs/>
          <w:color w:val="000000" w:themeColor="text1"/>
        </w:rPr>
        <w:t xml:space="preserve"> </w:t>
      </w:r>
      <w:hyperlink r:id="rId9" w:history="1">
        <w:r w:rsidR="00105A57" w:rsidRPr="00951760">
          <w:rPr>
            <w:rStyle w:val="Hyperlink"/>
            <w:rFonts w:cs="Arial"/>
            <w:bCs/>
            <w:i/>
            <w:iCs/>
          </w:rPr>
          <w:t>IMPACT HTA Template for OBMEA</w:t>
        </w:r>
      </w:hyperlink>
      <w:r w:rsidRPr="00B16E88">
        <w:rPr>
          <w:rFonts w:cs="Arial"/>
          <w:bCs/>
          <w:i/>
          <w:iCs/>
          <w:color w:val="000000" w:themeColor="text1"/>
        </w:rPr>
        <w:t xml:space="preserve"> and should be adapted to suit the healthcare system. </w:t>
      </w:r>
    </w:p>
    <w:p w14:paraId="4C3530D2" w14:textId="2F9EB6BE" w:rsidR="00105A57" w:rsidRDefault="00105A57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</w:p>
    <w:p w14:paraId="76D55151" w14:textId="49477AAA" w:rsidR="00105A57" w:rsidRDefault="00105A57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  <w:r>
        <w:rPr>
          <w:rFonts w:cs="Arial"/>
          <w:bCs/>
          <w:i/>
          <w:iCs/>
          <w:color w:val="000000" w:themeColor="text1"/>
        </w:rPr>
        <w:t xml:space="preserve">It has been </w:t>
      </w:r>
      <w:r w:rsidR="0074542B">
        <w:rPr>
          <w:rFonts w:cs="Arial"/>
          <w:bCs/>
          <w:i/>
          <w:iCs/>
          <w:color w:val="000000" w:themeColor="text1"/>
        </w:rPr>
        <w:t>developed</w:t>
      </w:r>
      <w:r>
        <w:rPr>
          <w:rFonts w:cs="Arial"/>
          <w:bCs/>
          <w:i/>
          <w:iCs/>
          <w:color w:val="000000" w:themeColor="text1"/>
        </w:rPr>
        <w:t xml:space="preserve"> from a document used by the National Institute for Health and Care Excellence taking account of knowledge gained in IMPACT HTA Work Package 10 and revised after consultation with the </w:t>
      </w:r>
      <w:r w:rsidR="0074542B">
        <w:rPr>
          <w:rFonts w:cs="Arial"/>
          <w:bCs/>
          <w:i/>
          <w:iCs/>
          <w:color w:val="000000" w:themeColor="text1"/>
        </w:rPr>
        <w:t xml:space="preserve">international </w:t>
      </w:r>
      <w:r>
        <w:rPr>
          <w:rFonts w:cs="Arial"/>
          <w:bCs/>
          <w:i/>
          <w:iCs/>
          <w:color w:val="000000" w:themeColor="text1"/>
        </w:rPr>
        <w:t>HTA community.</w:t>
      </w:r>
    </w:p>
    <w:p w14:paraId="5639A393" w14:textId="5EBB8A43" w:rsidR="00543A1E" w:rsidRDefault="00543A1E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</w:p>
    <w:p w14:paraId="5BB41863" w14:textId="1DA4AF04" w:rsidR="00543A1E" w:rsidRPr="00B16E88" w:rsidRDefault="00543A1E" w:rsidP="00B16E88">
      <w:pPr>
        <w:pStyle w:val="NICEnormal"/>
        <w:spacing w:after="0" w:line="240" w:lineRule="auto"/>
        <w:rPr>
          <w:rFonts w:cs="Arial"/>
          <w:bCs/>
          <w:i/>
          <w:iCs/>
          <w:color w:val="000000" w:themeColor="text1"/>
        </w:rPr>
      </w:pPr>
      <w:r>
        <w:rPr>
          <w:rFonts w:cs="Arial"/>
          <w:bCs/>
          <w:i/>
          <w:iCs/>
          <w:color w:val="000000" w:themeColor="text1"/>
        </w:rPr>
        <w:t xml:space="preserve">For any queries contact Karen Facey: </w:t>
      </w:r>
      <w:hyperlink r:id="rId10" w:history="1">
        <w:r w:rsidRPr="00DC7CE0">
          <w:rPr>
            <w:rStyle w:val="Hyperlink"/>
            <w:rFonts w:cs="Arial"/>
            <w:bCs/>
            <w:i/>
            <w:iCs/>
          </w:rPr>
          <w:t>karen.facey@ed.ac.uk</w:t>
        </w:r>
      </w:hyperlink>
      <w:r>
        <w:rPr>
          <w:rFonts w:cs="Arial"/>
          <w:bCs/>
          <w:i/>
          <w:iCs/>
          <w:color w:val="000000" w:themeColor="text1"/>
        </w:rPr>
        <w:t xml:space="preserve"> .</w:t>
      </w:r>
    </w:p>
    <w:p w14:paraId="11A55636" w14:textId="51DAF090" w:rsidR="00B16E88" w:rsidRDefault="00B16E88" w:rsidP="00B16E88">
      <w:pPr>
        <w:jc w:val="center"/>
        <w:rPr>
          <w:rFonts w:ascii="Arial" w:hAnsi="Arial" w:cs="Arial"/>
          <w:i/>
          <w:iCs/>
          <w:color w:val="FF0000"/>
          <w:lang w:val="en-US"/>
        </w:rPr>
      </w:pPr>
    </w:p>
    <w:p w14:paraId="7BFF84BB" w14:textId="11E1772B" w:rsidR="00B16E88" w:rsidRPr="00B16E88" w:rsidRDefault="00B16E88" w:rsidP="00B16E88">
      <w:pPr>
        <w:jc w:val="center"/>
        <w:rPr>
          <w:rFonts w:ascii="Arial" w:hAnsi="Arial" w:cs="Arial"/>
          <w:i/>
          <w:iCs/>
          <w:color w:val="FF0000"/>
          <w:lang w:val="en-US"/>
        </w:rPr>
      </w:pPr>
      <w:r w:rsidRPr="00B16E88">
        <w:rPr>
          <w:rFonts w:ascii="Arial" w:hAnsi="Arial" w:cs="Arial"/>
          <w:i/>
          <w:iCs/>
          <w:color w:val="FF0000"/>
          <w:lang w:val="en-US"/>
        </w:rPr>
        <w:t>Red text – details to be completed</w:t>
      </w:r>
    </w:p>
    <w:p w14:paraId="1493EEE6" w14:textId="0EE901D4" w:rsidR="00B16E88" w:rsidRPr="00A37D29" w:rsidRDefault="00B16E88" w:rsidP="00B16E88">
      <w:pPr>
        <w:jc w:val="center"/>
        <w:rPr>
          <w:rFonts w:ascii="Arial" w:hAnsi="Arial" w:cs="Arial"/>
          <w:i/>
          <w:iCs/>
          <w:color w:val="00B050"/>
          <w:lang w:val="en-US"/>
        </w:rPr>
      </w:pPr>
      <w:r w:rsidRPr="00B16E88">
        <w:rPr>
          <w:rFonts w:ascii="Arial" w:hAnsi="Arial" w:cs="Arial"/>
          <w:i/>
          <w:iCs/>
          <w:color w:val="00B050"/>
          <w:lang w:val="en-US"/>
        </w:rPr>
        <w:t xml:space="preserve">Green text - alter or delete as appropriate </w:t>
      </w:r>
    </w:p>
    <w:p w14:paraId="0A40B5DD" w14:textId="7B4BC87F" w:rsidR="00B16E88" w:rsidRDefault="00B16E88" w:rsidP="00B16E88">
      <w:pPr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highlight w:val="yellow"/>
          <w:lang w:val="en-US"/>
        </w:rPr>
        <w:t>Black text in yellow highlights – explanatory text in the template</w:t>
      </w:r>
      <w:r w:rsidRPr="001726B4">
        <w:rPr>
          <w:rFonts w:ascii="Arial" w:hAnsi="Arial" w:cs="Arial"/>
          <w:i/>
          <w:iCs/>
          <w:highlight w:val="yellow"/>
          <w:lang w:val="en-US"/>
        </w:rPr>
        <w:t xml:space="preserve"> to be deleted</w:t>
      </w:r>
    </w:p>
    <w:p w14:paraId="2557A64D" w14:textId="2E939CAF" w:rsidR="00B16E88" w:rsidRDefault="00B16E88" w:rsidP="00B16E88">
      <w:pPr>
        <w:jc w:val="center"/>
        <w:rPr>
          <w:rFonts w:ascii="Arial" w:hAnsi="Arial" w:cs="Arial"/>
          <w:i/>
          <w:iCs/>
          <w:lang w:val="en-US"/>
        </w:rPr>
      </w:pPr>
    </w:p>
    <w:p w14:paraId="3370A469" w14:textId="77777777" w:rsidR="003576EF" w:rsidRPr="00951760" w:rsidRDefault="003576EF" w:rsidP="003576EF">
      <w:pPr>
        <w:pStyle w:val="Header"/>
        <w:jc w:val="center"/>
        <w:rPr>
          <w:b/>
          <w:sz w:val="28"/>
          <w:szCs w:val="28"/>
        </w:rPr>
      </w:pPr>
    </w:p>
    <w:p w14:paraId="2E332671" w14:textId="77777777" w:rsidR="003576EF" w:rsidRPr="00951760" w:rsidRDefault="003576EF" w:rsidP="003576EF">
      <w:pPr>
        <w:pStyle w:val="NICEnormal"/>
        <w:spacing w:after="0" w:line="240" w:lineRule="auto"/>
        <w:rPr>
          <w:rFonts w:cs="Arial"/>
          <w:bCs/>
          <w:i/>
          <w:iCs/>
          <w:color w:val="808080" w:themeColor="background1" w:themeShade="80"/>
        </w:rPr>
      </w:pPr>
    </w:p>
    <w:p w14:paraId="7B567DB6" w14:textId="77777777" w:rsidR="003576EF" w:rsidRPr="00951760" w:rsidRDefault="003576EF" w:rsidP="003576EF">
      <w:pPr>
        <w:pStyle w:val="NICEnormal"/>
        <w:spacing w:after="0" w:line="240" w:lineRule="auto"/>
        <w:rPr>
          <w:rFonts w:cs="Arial"/>
          <w:bCs/>
          <w:i/>
          <w:iCs/>
          <w:color w:val="808080" w:themeColor="background1" w:themeShade="80"/>
        </w:rPr>
      </w:pPr>
    </w:p>
    <w:p w14:paraId="65E85EC6" w14:textId="5418A68F" w:rsidR="003576EF" w:rsidRDefault="003576EF" w:rsidP="003576EF">
      <w:pPr>
        <w:pStyle w:val="NICEnormal"/>
        <w:spacing w:after="0" w:line="240" w:lineRule="auto"/>
        <w:jc w:val="center"/>
        <w:rPr>
          <w:rFonts w:cs="Arial"/>
          <w:b/>
        </w:rPr>
      </w:pPr>
    </w:p>
    <w:p w14:paraId="50BA92A4" w14:textId="77777777" w:rsidR="0022508A" w:rsidRDefault="0022508A" w:rsidP="003576EF">
      <w:pPr>
        <w:pStyle w:val="NICEnormal"/>
        <w:spacing w:after="0" w:line="240" w:lineRule="auto"/>
        <w:jc w:val="center"/>
        <w:rPr>
          <w:rFonts w:cs="Arial"/>
          <w:b/>
        </w:rPr>
      </w:pPr>
    </w:p>
    <w:p w14:paraId="1E88C9AB" w14:textId="77777777" w:rsidR="003576EF" w:rsidRDefault="003576EF" w:rsidP="003576EF">
      <w:pPr>
        <w:pStyle w:val="NICEnormal"/>
        <w:spacing w:after="0" w:line="240" w:lineRule="auto"/>
        <w:jc w:val="center"/>
        <w:rPr>
          <w:rFonts w:cs="Arial"/>
          <w:b/>
        </w:rPr>
      </w:pPr>
    </w:p>
    <w:p w14:paraId="00AD62A4" w14:textId="77777777" w:rsidR="003576EF" w:rsidRPr="00951760" w:rsidRDefault="003576EF" w:rsidP="003576EF">
      <w:pPr>
        <w:pStyle w:val="Header"/>
        <w:jc w:val="center"/>
        <w:rPr>
          <w:b/>
          <w:color w:val="0000FF"/>
          <w:sz w:val="32"/>
          <w:szCs w:val="32"/>
        </w:rPr>
      </w:pPr>
      <w:r w:rsidRPr="00951760">
        <w:rPr>
          <w:b/>
          <w:color w:val="0000FF"/>
          <w:sz w:val="32"/>
          <w:szCs w:val="32"/>
        </w:rPr>
        <w:t>This page should be deleted</w:t>
      </w:r>
    </w:p>
    <w:p w14:paraId="285A7F5B" w14:textId="77777777" w:rsidR="003576EF" w:rsidRDefault="003576EF" w:rsidP="003576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96F775" w14:textId="77777777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Outcomes-Based Managed Entry Agreement</w:t>
      </w:r>
    </w:p>
    <w:p w14:paraId="78A03850" w14:textId="77777777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</w:p>
    <w:p w14:paraId="359D5C16" w14:textId="77777777" w:rsidR="00B16E88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sz w:val="28"/>
          <w:szCs w:val="28"/>
        </w:rPr>
      </w:pPr>
      <w:r w:rsidRPr="00B3205E">
        <w:rPr>
          <w:caps/>
          <w:sz w:val="28"/>
          <w:szCs w:val="28"/>
        </w:rPr>
        <w:t>Monitoring committee</w:t>
      </w:r>
      <w:r w:rsidRPr="007814FA">
        <w:rPr>
          <w:sz w:val="28"/>
          <w:szCs w:val="28"/>
        </w:rPr>
        <w:t xml:space="preserve"> </w:t>
      </w:r>
      <w:r w:rsidRPr="00B3205E">
        <w:rPr>
          <w:sz w:val="28"/>
          <w:szCs w:val="28"/>
        </w:rPr>
        <w:t>TERMS OF REFERENCE</w:t>
      </w:r>
      <w:r w:rsidRPr="007814FA">
        <w:rPr>
          <w:sz w:val="28"/>
          <w:szCs w:val="28"/>
        </w:rPr>
        <w:t xml:space="preserve"> </w:t>
      </w:r>
    </w:p>
    <w:p w14:paraId="70E277C1" w14:textId="77777777" w:rsidR="00B16E88" w:rsidRPr="00B22175" w:rsidRDefault="00B16E88" w:rsidP="00B16E88">
      <w:pPr>
        <w:pStyle w:val="Title2"/>
        <w:tabs>
          <w:tab w:val="left" w:pos="1125"/>
          <w:tab w:val="center" w:pos="4156"/>
        </w:tabs>
        <w:spacing w:before="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B22175">
        <w:rPr>
          <w:color w:val="000000" w:themeColor="text1"/>
          <w:sz w:val="28"/>
          <w:szCs w:val="28"/>
        </w:rPr>
        <w:t xml:space="preserve">FOR </w:t>
      </w:r>
      <w:r>
        <w:rPr>
          <w:color w:val="FF0000"/>
          <w:sz w:val="28"/>
          <w:szCs w:val="28"/>
        </w:rPr>
        <w:t xml:space="preserve">RARE DISEASE TREATMENT </w:t>
      </w:r>
      <w:r w:rsidRPr="00B22175">
        <w:rPr>
          <w:color w:val="000000" w:themeColor="text1"/>
          <w:sz w:val="28"/>
          <w:szCs w:val="28"/>
        </w:rPr>
        <w:t xml:space="preserve">IN </w:t>
      </w:r>
      <w:r>
        <w:rPr>
          <w:color w:val="FF0000"/>
          <w:sz w:val="28"/>
          <w:szCs w:val="28"/>
        </w:rPr>
        <w:t>REIMBUSED I</w:t>
      </w:r>
      <w:r w:rsidRPr="00B22175">
        <w:rPr>
          <w:color w:val="FF0000"/>
          <w:sz w:val="28"/>
          <w:szCs w:val="28"/>
        </w:rPr>
        <w:t>N</w:t>
      </w:r>
      <w:r>
        <w:rPr>
          <w:color w:val="FF0000"/>
          <w:sz w:val="28"/>
          <w:szCs w:val="28"/>
        </w:rPr>
        <w:t>DICATION</w:t>
      </w:r>
    </w:p>
    <w:p w14:paraId="5A11DD8C" w14:textId="77777777" w:rsidR="003576EF" w:rsidRDefault="003576EF" w:rsidP="007814FA">
      <w:pPr>
        <w:pStyle w:val="Title2"/>
        <w:tabs>
          <w:tab w:val="left" w:pos="1125"/>
          <w:tab w:val="center" w:pos="4156"/>
        </w:tabs>
        <w:spacing w:before="0" w:after="0"/>
        <w:rPr>
          <w:caps/>
          <w:sz w:val="28"/>
          <w:szCs w:val="28"/>
        </w:rPr>
      </w:pPr>
    </w:p>
    <w:p w14:paraId="66BA4058" w14:textId="40A8E4AE" w:rsidR="00EB683F" w:rsidRPr="00EB683F" w:rsidRDefault="00EB683F" w:rsidP="00A926BE">
      <w:pPr>
        <w:pStyle w:val="NICEnormal"/>
        <w:spacing w:after="0" w:line="240" w:lineRule="auto"/>
        <w:rPr>
          <w:rFonts w:cs="Arial"/>
          <w:b/>
        </w:rPr>
      </w:pPr>
      <w:r>
        <w:rPr>
          <w:rFonts w:cs="Arial"/>
          <w:b/>
        </w:rPr>
        <w:t>REMIT OF MONITORING COMMITTEE</w:t>
      </w:r>
    </w:p>
    <w:p w14:paraId="3E0292E0" w14:textId="77777777" w:rsidR="00EB683F" w:rsidRPr="0042388F" w:rsidRDefault="00EB683F" w:rsidP="00A926BE">
      <w:pPr>
        <w:pStyle w:val="NICEnormal"/>
        <w:spacing w:after="0" w:line="240" w:lineRule="auto"/>
        <w:rPr>
          <w:rFonts w:cs="Arial"/>
          <w:bCs/>
          <w:sz w:val="18"/>
          <w:szCs w:val="18"/>
        </w:rPr>
      </w:pPr>
    </w:p>
    <w:p w14:paraId="6D5513BF" w14:textId="1CFF42E5" w:rsidR="002521CA" w:rsidRDefault="00312604" w:rsidP="00312604">
      <w:pPr>
        <w:pStyle w:val="Paragraphnonumbers"/>
        <w:spacing w:after="0" w:line="240" w:lineRule="auto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 xml:space="preserve">This is </w:t>
      </w:r>
      <w:r w:rsidRPr="00B22175">
        <w:rPr>
          <w:bCs/>
          <w:i/>
          <w:iCs/>
          <w:highlight w:val="yellow"/>
          <w:u w:val="single"/>
        </w:rPr>
        <w:t>not</w:t>
      </w:r>
      <w:r>
        <w:rPr>
          <w:bCs/>
          <w:i/>
          <w:iCs/>
          <w:highlight w:val="yellow"/>
        </w:rPr>
        <w:t xml:space="preserve"> intended to be a “Data Monitoring Committee” </w:t>
      </w:r>
      <w:r w:rsidR="00B22175">
        <w:rPr>
          <w:bCs/>
          <w:i/>
          <w:iCs/>
          <w:highlight w:val="yellow"/>
        </w:rPr>
        <w:t>as used i</w:t>
      </w:r>
      <w:r>
        <w:rPr>
          <w:bCs/>
          <w:i/>
          <w:iCs/>
          <w:highlight w:val="yellow"/>
        </w:rPr>
        <w:t>n a clinical trial</w:t>
      </w:r>
      <w:r w:rsidR="00B22175">
        <w:rPr>
          <w:bCs/>
          <w:i/>
          <w:iCs/>
          <w:highlight w:val="yellow"/>
        </w:rPr>
        <w:t xml:space="preserve"> (</w:t>
      </w:r>
      <w:r>
        <w:rPr>
          <w:bCs/>
          <w:i/>
          <w:iCs/>
          <w:highlight w:val="yellow"/>
        </w:rPr>
        <w:t xml:space="preserve">with responsibility for reviewing accruing data to </w:t>
      </w:r>
      <w:r w:rsidR="002521CA">
        <w:rPr>
          <w:bCs/>
          <w:i/>
          <w:iCs/>
          <w:highlight w:val="yellow"/>
        </w:rPr>
        <w:t xml:space="preserve">monitor safety and </w:t>
      </w:r>
      <w:r>
        <w:rPr>
          <w:bCs/>
          <w:i/>
          <w:iCs/>
          <w:highlight w:val="yellow"/>
        </w:rPr>
        <w:t>decide termination according to an interim analysis plan</w:t>
      </w:r>
      <w:r w:rsidR="00B22175">
        <w:rPr>
          <w:bCs/>
          <w:i/>
          <w:iCs/>
          <w:highlight w:val="yellow"/>
        </w:rPr>
        <w:t>)</w:t>
      </w:r>
      <w:r>
        <w:rPr>
          <w:bCs/>
          <w:i/>
          <w:iCs/>
          <w:highlight w:val="yellow"/>
        </w:rPr>
        <w:t xml:space="preserve">. </w:t>
      </w:r>
      <w:r w:rsidR="002521CA">
        <w:rPr>
          <w:bCs/>
          <w:i/>
          <w:iCs/>
          <w:highlight w:val="yellow"/>
        </w:rPr>
        <w:t>This RDT has been authorised by regulators and is being used</w:t>
      </w:r>
      <w:r w:rsidR="00B22175">
        <w:rPr>
          <w:bCs/>
          <w:i/>
          <w:iCs/>
          <w:highlight w:val="yellow"/>
        </w:rPr>
        <w:t xml:space="preserve"> within its licensed indication</w:t>
      </w:r>
      <w:r w:rsidR="002521CA">
        <w:rPr>
          <w:bCs/>
          <w:i/>
          <w:iCs/>
          <w:highlight w:val="yellow"/>
        </w:rPr>
        <w:t xml:space="preserve"> in </w:t>
      </w:r>
      <w:r w:rsidR="00B22175">
        <w:rPr>
          <w:bCs/>
          <w:i/>
          <w:iCs/>
          <w:highlight w:val="yellow"/>
        </w:rPr>
        <w:t>clinical</w:t>
      </w:r>
      <w:r w:rsidR="002521CA">
        <w:rPr>
          <w:bCs/>
          <w:i/>
          <w:iCs/>
          <w:highlight w:val="yellow"/>
        </w:rPr>
        <w:t xml:space="preserve"> practice, so usual safety reporting and local clinical governance measures apply.</w:t>
      </w:r>
    </w:p>
    <w:p w14:paraId="7B3BFA30" w14:textId="77777777" w:rsidR="002521CA" w:rsidRDefault="002521CA" w:rsidP="00312604">
      <w:pPr>
        <w:pStyle w:val="Paragraphnonumbers"/>
        <w:spacing w:after="0" w:line="240" w:lineRule="auto"/>
        <w:rPr>
          <w:bCs/>
          <w:i/>
          <w:iCs/>
          <w:highlight w:val="yellow"/>
        </w:rPr>
      </w:pPr>
    </w:p>
    <w:p w14:paraId="53473400" w14:textId="6638C0DD" w:rsidR="00312604" w:rsidRDefault="00312604" w:rsidP="00312604">
      <w:pPr>
        <w:pStyle w:val="Paragraphnonumbers"/>
        <w:spacing w:after="0" w:line="240" w:lineRule="auto"/>
        <w:rPr>
          <w:bCs/>
          <w:i/>
          <w:iCs/>
          <w:highlight w:val="yellow"/>
        </w:rPr>
      </w:pPr>
      <w:r>
        <w:rPr>
          <w:bCs/>
          <w:i/>
          <w:iCs/>
          <w:highlight w:val="yellow"/>
        </w:rPr>
        <w:t xml:space="preserve">The purpose of </w:t>
      </w:r>
      <w:r w:rsidR="00B22175">
        <w:rPr>
          <w:bCs/>
          <w:i/>
          <w:iCs/>
          <w:highlight w:val="yellow"/>
        </w:rPr>
        <w:t>an</w:t>
      </w:r>
      <w:r>
        <w:rPr>
          <w:bCs/>
          <w:i/>
          <w:iCs/>
          <w:highlight w:val="yellow"/>
        </w:rPr>
        <w:t xml:space="preserve"> “OBMEA Monitoring Committee” is to bring together all stakeholders involved in </w:t>
      </w:r>
      <w:r w:rsidR="00B22175">
        <w:rPr>
          <w:bCs/>
          <w:i/>
          <w:iCs/>
          <w:highlight w:val="yellow"/>
        </w:rPr>
        <w:t>a specific</w:t>
      </w:r>
      <w:r>
        <w:rPr>
          <w:bCs/>
          <w:i/>
          <w:iCs/>
          <w:highlight w:val="yellow"/>
        </w:rPr>
        <w:t xml:space="preserve"> OBMEA to ensure that the real-world data being collected, perhaps from various sources, are of as good quality as they can be. The</w:t>
      </w:r>
      <w:r w:rsidR="002521CA">
        <w:rPr>
          <w:bCs/>
          <w:i/>
          <w:iCs/>
          <w:highlight w:val="yellow"/>
        </w:rPr>
        <w:t xml:space="preserve"> Committee</w:t>
      </w:r>
      <w:r>
        <w:rPr>
          <w:bCs/>
          <w:i/>
          <w:iCs/>
          <w:highlight w:val="yellow"/>
        </w:rPr>
        <w:t xml:space="preserve"> may also advise on remedial activities</w:t>
      </w:r>
      <w:r w:rsidR="002521CA">
        <w:rPr>
          <w:bCs/>
          <w:i/>
          <w:iCs/>
          <w:highlight w:val="yellow"/>
        </w:rPr>
        <w:t xml:space="preserve"> to improve data quality</w:t>
      </w:r>
      <w:r>
        <w:rPr>
          <w:bCs/>
          <w:i/>
          <w:iCs/>
          <w:highlight w:val="yellow"/>
        </w:rPr>
        <w:t xml:space="preserve">, for example if they see issues in a particular centre, or common challenges in obtaining a particular assessment. </w:t>
      </w:r>
    </w:p>
    <w:p w14:paraId="328D012D" w14:textId="77777777" w:rsidR="00312604" w:rsidRDefault="00312604" w:rsidP="001D5676">
      <w:pPr>
        <w:pStyle w:val="NICEnormal"/>
        <w:spacing w:after="0" w:line="240" w:lineRule="auto"/>
        <w:rPr>
          <w:rFonts w:cs="Arial"/>
          <w:bCs/>
        </w:rPr>
      </w:pPr>
    </w:p>
    <w:p w14:paraId="1A07C124" w14:textId="413F8CE2" w:rsidR="001D5676" w:rsidRPr="0063148D" w:rsidRDefault="00EC2231" w:rsidP="001D5676">
      <w:pPr>
        <w:pStyle w:val="NICEnormal"/>
        <w:spacing w:after="0" w:line="240" w:lineRule="auto"/>
        <w:rPr>
          <w:color w:val="FF0000"/>
          <w:sz w:val="23"/>
          <w:szCs w:val="23"/>
        </w:rPr>
      </w:pPr>
      <w:r w:rsidRPr="00EC2231">
        <w:rPr>
          <w:rFonts w:cs="Arial"/>
          <w:bCs/>
        </w:rPr>
        <w:t xml:space="preserve">The </w:t>
      </w:r>
      <w:r w:rsidR="001227FE">
        <w:rPr>
          <w:rFonts w:cs="Arial"/>
          <w:bCs/>
        </w:rPr>
        <w:t xml:space="preserve">Monitoring </w:t>
      </w:r>
      <w:r w:rsidRPr="00EC2231">
        <w:rPr>
          <w:rFonts w:cs="Arial"/>
          <w:bCs/>
        </w:rPr>
        <w:t xml:space="preserve">Committee is </w:t>
      </w:r>
      <w:r w:rsidR="008265B8">
        <w:rPr>
          <w:rFonts w:cs="Arial"/>
          <w:bCs/>
        </w:rPr>
        <w:t xml:space="preserve">an advisory committee, </w:t>
      </w:r>
      <w:r w:rsidRPr="00EC2231">
        <w:rPr>
          <w:rFonts w:cs="Arial"/>
          <w:bCs/>
        </w:rPr>
        <w:t xml:space="preserve">responsible for ensuring the </w:t>
      </w:r>
      <w:r w:rsidR="00DB6773">
        <w:rPr>
          <w:rFonts w:cs="Arial"/>
          <w:bCs/>
        </w:rPr>
        <w:t>Outcomes-Based Managed Entry Agreement (</w:t>
      </w:r>
      <w:r w:rsidR="009A36E1">
        <w:rPr>
          <w:rFonts w:cs="Arial"/>
          <w:bCs/>
        </w:rPr>
        <w:t>OBMEA</w:t>
      </w:r>
      <w:r w:rsidR="00DB6773">
        <w:rPr>
          <w:rFonts w:cs="Arial"/>
          <w:bCs/>
        </w:rPr>
        <w:t>)</w:t>
      </w:r>
      <w:r w:rsidR="0063148D">
        <w:rPr>
          <w:rFonts w:cs="Arial"/>
          <w:bCs/>
        </w:rPr>
        <w:t xml:space="preserve"> </w:t>
      </w:r>
      <w:r w:rsidR="0063148D">
        <w:rPr>
          <w:rFonts w:cs="Arial"/>
          <w:bCs/>
          <w:color w:val="FF0000"/>
        </w:rPr>
        <w:t>of rare disease treatment (RDT) in reimbursed indication</w:t>
      </w:r>
      <w:r w:rsidRPr="00EC2231">
        <w:rPr>
          <w:rFonts w:cs="Arial"/>
          <w:bCs/>
        </w:rPr>
        <w:t xml:space="preserve"> is implemented in line with the </w:t>
      </w:r>
      <w:r w:rsidR="001227FE">
        <w:rPr>
          <w:rFonts w:cs="Arial"/>
          <w:bCs/>
        </w:rPr>
        <w:t>arrangements</w:t>
      </w:r>
      <w:r w:rsidRPr="00EC2231">
        <w:rPr>
          <w:rFonts w:cs="Arial"/>
          <w:bCs/>
        </w:rPr>
        <w:t xml:space="preserve"> </w:t>
      </w:r>
      <w:r w:rsidR="009A36E1">
        <w:rPr>
          <w:rFonts w:cs="Arial"/>
          <w:bCs/>
        </w:rPr>
        <w:t>agreed</w:t>
      </w:r>
      <w:r w:rsidR="001D5676">
        <w:rPr>
          <w:rFonts w:cs="Arial"/>
          <w:bCs/>
        </w:rPr>
        <w:t xml:space="preserve">. </w:t>
      </w:r>
      <w:r w:rsidR="001D5676">
        <w:t xml:space="preserve">The Monitoring </w:t>
      </w:r>
      <w:r w:rsidR="001D5676" w:rsidRPr="009A36E1">
        <w:t>Committee</w:t>
      </w:r>
      <w:r w:rsidR="001D5676">
        <w:t xml:space="preserve"> oversees the </w:t>
      </w:r>
      <w:r w:rsidR="007814FA">
        <w:t>implementa</w:t>
      </w:r>
      <w:r w:rsidR="001D5676">
        <w:t xml:space="preserve">tion of the OBMEA and </w:t>
      </w:r>
      <w:r w:rsidR="00B07CF8">
        <w:t>provides guidance on i</w:t>
      </w:r>
      <w:r w:rsidR="001D5676">
        <w:t>ssues that arise</w:t>
      </w:r>
      <w:r w:rsidR="00312604">
        <w:t xml:space="preserve"> with collecting the data</w:t>
      </w:r>
      <w:r w:rsidR="001D5676">
        <w:t xml:space="preserve"> in clinical practice</w:t>
      </w:r>
      <w:r w:rsidR="001D5676" w:rsidRPr="00903F28">
        <w:t>.</w:t>
      </w:r>
    </w:p>
    <w:p w14:paraId="7123D475" w14:textId="36893DA6" w:rsidR="00DB6773" w:rsidRDefault="00DB6773" w:rsidP="001D5676">
      <w:pPr>
        <w:pStyle w:val="NICEnormal"/>
        <w:spacing w:after="0" w:line="240" w:lineRule="auto"/>
        <w:rPr>
          <w:rFonts w:cs="Arial"/>
          <w:bCs/>
        </w:rPr>
      </w:pPr>
    </w:p>
    <w:p w14:paraId="3CC93C24" w14:textId="1BA1E31D" w:rsidR="00EC2231" w:rsidRPr="00EC2231" w:rsidRDefault="00EC2231" w:rsidP="001D5676">
      <w:pPr>
        <w:pStyle w:val="NICEnormal"/>
        <w:spacing w:after="0" w:line="240" w:lineRule="auto"/>
        <w:rPr>
          <w:rFonts w:cs="Arial"/>
          <w:bCs/>
        </w:rPr>
      </w:pPr>
      <w:r w:rsidRPr="00EC2231">
        <w:rPr>
          <w:rFonts w:cs="Arial"/>
          <w:bCs/>
        </w:rPr>
        <w:t>This document describes the compo</w:t>
      </w:r>
      <w:r w:rsidR="007B5756">
        <w:rPr>
          <w:rFonts w:cs="Arial"/>
          <w:bCs/>
        </w:rPr>
        <w:t xml:space="preserve">sition </w:t>
      </w:r>
      <w:r w:rsidRPr="00EC2231">
        <w:rPr>
          <w:rFonts w:cs="Arial"/>
          <w:bCs/>
        </w:rPr>
        <w:t xml:space="preserve">of the </w:t>
      </w:r>
      <w:r w:rsidR="001227FE">
        <w:rPr>
          <w:rFonts w:cs="Arial"/>
          <w:bCs/>
        </w:rPr>
        <w:t>OBMEA Monitoring</w:t>
      </w:r>
      <w:r w:rsidRPr="00EC2231">
        <w:rPr>
          <w:rFonts w:cs="Arial"/>
          <w:bCs/>
        </w:rPr>
        <w:t xml:space="preserve"> Committee</w:t>
      </w:r>
      <w:r w:rsidR="001227FE">
        <w:rPr>
          <w:rFonts w:cs="Arial"/>
          <w:bCs/>
        </w:rPr>
        <w:t xml:space="preserve"> (the “Committee”)</w:t>
      </w:r>
      <w:r w:rsidRPr="00EC2231">
        <w:rPr>
          <w:rFonts w:cs="Arial"/>
          <w:bCs/>
        </w:rPr>
        <w:t xml:space="preserve"> and its functions including proposed membership, responsibilities of the members and meeting arrangements.  </w:t>
      </w:r>
    </w:p>
    <w:p w14:paraId="63967B34" w14:textId="77777777" w:rsidR="00A926BE" w:rsidRDefault="00A926BE" w:rsidP="00A926BE">
      <w:pPr>
        <w:pStyle w:val="NICEnormal"/>
        <w:spacing w:after="0" w:line="240" w:lineRule="auto"/>
        <w:rPr>
          <w:rFonts w:cs="Arial"/>
          <w:b/>
        </w:rPr>
      </w:pPr>
    </w:p>
    <w:p w14:paraId="3A74132E" w14:textId="77777777" w:rsidR="007814FA" w:rsidRDefault="007814FA" w:rsidP="00A926BE">
      <w:pPr>
        <w:pStyle w:val="NICEnormal"/>
        <w:spacing w:after="0" w:line="240" w:lineRule="auto"/>
        <w:rPr>
          <w:rFonts w:cs="Arial"/>
          <w:b/>
        </w:rPr>
      </w:pPr>
    </w:p>
    <w:p w14:paraId="7AD3ABF5" w14:textId="35633850" w:rsidR="000C3AB4" w:rsidRDefault="000C3AB4" w:rsidP="00A926BE">
      <w:pPr>
        <w:pStyle w:val="NICEnormal"/>
        <w:spacing w:after="0" w:line="240" w:lineRule="auto"/>
        <w:rPr>
          <w:rFonts w:cs="Arial"/>
          <w:b/>
        </w:rPr>
      </w:pPr>
      <w:r>
        <w:rPr>
          <w:rFonts w:cs="Arial"/>
          <w:b/>
        </w:rPr>
        <w:t>BACKGROUND</w:t>
      </w:r>
      <w:r w:rsidR="001D5676">
        <w:rPr>
          <w:rFonts w:cs="Arial"/>
          <w:b/>
        </w:rPr>
        <w:t xml:space="preserve"> TO THE OBMEA</w:t>
      </w:r>
    </w:p>
    <w:p w14:paraId="13E43CDB" w14:textId="77777777" w:rsidR="00A926BE" w:rsidRPr="0042388F" w:rsidRDefault="00A926BE" w:rsidP="00A926BE">
      <w:pPr>
        <w:pStyle w:val="NICEnormal"/>
        <w:spacing w:after="0" w:line="240" w:lineRule="auto"/>
        <w:rPr>
          <w:rFonts w:cs="Arial"/>
          <w:b/>
          <w:sz w:val="18"/>
          <w:szCs w:val="18"/>
        </w:rPr>
      </w:pPr>
    </w:p>
    <w:p w14:paraId="0E057605" w14:textId="12FBD822" w:rsidR="001A375B" w:rsidRPr="001726B4" w:rsidRDefault="00233B82" w:rsidP="001A1361">
      <w:pPr>
        <w:pStyle w:val="NICEnormal"/>
        <w:spacing w:after="0" w:line="240" w:lineRule="auto"/>
        <w:rPr>
          <w:rFonts w:cs="Arial"/>
          <w:i/>
          <w:iCs/>
          <w:highlight w:val="yellow"/>
        </w:rPr>
      </w:pPr>
      <w:r w:rsidRPr="001726B4">
        <w:rPr>
          <w:rFonts w:cs="Arial"/>
          <w:bCs/>
          <w:i/>
          <w:iCs/>
          <w:highlight w:val="yellow"/>
        </w:rPr>
        <w:t xml:space="preserve">Summarize </w:t>
      </w:r>
      <w:r w:rsidR="00204DE2">
        <w:rPr>
          <w:rFonts w:cs="Arial"/>
          <w:bCs/>
          <w:i/>
          <w:iCs/>
          <w:highlight w:val="yellow"/>
        </w:rPr>
        <w:t xml:space="preserve">appraisal recommendation or pricing and reimbursement </w:t>
      </w:r>
      <w:r w:rsidR="004E5E45" w:rsidRPr="001726B4">
        <w:rPr>
          <w:rFonts w:cs="Arial"/>
          <w:bCs/>
          <w:i/>
          <w:iCs/>
          <w:highlight w:val="yellow"/>
        </w:rPr>
        <w:t>d</w:t>
      </w:r>
      <w:r w:rsidRPr="001726B4">
        <w:rPr>
          <w:rFonts w:cs="Arial"/>
          <w:bCs/>
          <w:i/>
          <w:iCs/>
          <w:highlight w:val="yellow"/>
        </w:rPr>
        <w:t>ecision</w:t>
      </w:r>
      <w:r w:rsidR="004E5E45" w:rsidRPr="001726B4">
        <w:rPr>
          <w:rFonts w:cs="Arial"/>
          <w:bCs/>
          <w:i/>
          <w:iCs/>
          <w:highlight w:val="yellow"/>
        </w:rPr>
        <w:t xml:space="preserve"> about the RDT</w:t>
      </w:r>
      <w:r w:rsidRPr="001726B4">
        <w:rPr>
          <w:rFonts w:cs="Arial"/>
          <w:bCs/>
          <w:i/>
          <w:iCs/>
          <w:highlight w:val="yellow"/>
        </w:rPr>
        <w:t xml:space="preserve"> and </w:t>
      </w:r>
      <w:r w:rsidR="00204DE2">
        <w:rPr>
          <w:rFonts w:cs="Arial"/>
          <w:bCs/>
          <w:i/>
          <w:iCs/>
          <w:highlight w:val="yellow"/>
        </w:rPr>
        <w:t xml:space="preserve">why the </w:t>
      </w:r>
      <w:r w:rsidRPr="001726B4">
        <w:rPr>
          <w:rFonts w:cs="Arial"/>
          <w:bCs/>
          <w:i/>
          <w:iCs/>
          <w:highlight w:val="yellow"/>
        </w:rPr>
        <w:t xml:space="preserve">OBMEA </w:t>
      </w:r>
      <w:r w:rsidR="00204DE2">
        <w:rPr>
          <w:rFonts w:cs="Arial"/>
          <w:bCs/>
          <w:i/>
          <w:iCs/>
          <w:highlight w:val="yellow"/>
        </w:rPr>
        <w:t>was established</w:t>
      </w:r>
      <w:r w:rsidR="0024445E">
        <w:rPr>
          <w:rFonts w:cs="Arial"/>
          <w:bCs/>
          <w:i/>
          <w:iCs/>
          <w:highlight w:val="yellow"/>
        </w:rPr>
        <w:t>. Refer</w:t>
      </w:r>
      <w:r w:rsidRPr="001726B4">
        <w:rPr>
          <w:rFonts w:cs="Arial"/>
          <w:bCs/>
          <w:i/>
          <w:iCs/>
          <w:highlight w:val="yellow"/>
        </w:rPr>
        <w:t xml:space="preserve"> to</w:t>
      </w:r>
      <w:r w:rsidR="001A1361" w:rsidRPr="001726B4">
        <w:rPr>
          <w:rFonts w:cs="Arial"/>
          <w:bCs/>
          <w:i/>
          <w:iCs/>
          <w:highlight w:val="yellow"/>
        </w:rPr>
        <w:t xml:space="preserve"> </w:t>
      </w:r>
      <w:r w:rsidR="0024445E">
        <w:rPr>
          <w:rFonts w:cs="Arial"/>
          <w:bCs/>
          <w:i/>
          <w:iCs/>
          <w:highlight w:val="yellow"/>
        </w:rPr>
        <w:t xml:space="preserve">the </w:t>
      </w:r>
      <w:r w:rsidR="001227FE" w:rsidRPr="001726B4">
        <w:rPr>
          <w:rFonts w:cs="Arial"/>
          <w:i/>
          <w:iCs/>
          <w:highlight w:val="yellow"/>
        </w:rPr>
        <w:t>HTA</w:t>
      </w:r>
      <w:r w:rsidR="0024445E">
        <w:rPr>
          <w:rFonts w:cs="Arial"/>
          <w:i/>
          <w:iCs/>
          <w:highlight w:val="yellow"/>
        </w:rPr>
        <w:t xml:space="preserve"> or reimbursement</w:t>
      </w:r>
      <w:r w:rsidR="001227FE" w:rsidRPr="001726B4">
        <w:rPr>
          <w:rFonts w:cs="Arial"/>
          <w:i/>
          <w:iCs/>
          <w:highlight w:val="yellow"/>
        </w:rPr>
        <w:t xml:space="preserve"> report</w:t>
      </w:r>
      <w:r w:rsidR="00204DE2">
        <w:rPr>
          <w:rFonts w:cs="Arial"/>
          <w:i/>
          <w:iCs/>
          <w:highlight w:val="yellow"/>
        </w:rPr>
        <w:t xml:space="preserve"> and</w:t>
      </w:r>
      <w:r w:rsidR="001A1361" w:rsidRPr="001726B4">
        <w:rPr>
          <w:rFonts w:cs="Arial"/>
          <w:i/>
          <w:iCs/>
          <w:highlight w:val="yellow"/>
        </w:rPr>
        <w:t xml:space="preserve"> </w:t>
      </w:r>
      <w:r w:rsidR="00CE6085" w:rsidRPr="001726B4">
        <w:rPr>
          <w:rFonts w:cs="Arial"/>
          <w:i/>
          <w:iCs/>
          <w:highlight w:val="yellow"/>
        </w:rPr>
        <w:t>p</w:t>
      </w:r>
      <w:r w:rsidR="001227FE" w:rsidRPr="001726B4">
        <w:rPr>
          <w:rFonts w:cs="Arial"/>
          <w:i/>
          <w:iCs/>
          <w:highlight w:val="yellow"/>
        </w:rPr>
        <w:t>ublished OBMEA documents</w:t>
      </w:r>
      <w:r w:rsidR="00CE6085" w:rsidRPr="001726B4">
        <w:rPr>
          <w:rFonts w:cs="Arial"/>
          <w:i/>
          <w:iCs/>
          <w:highlight w:val="yellow"/>
        </w:rPr>
        <w:t>.</w:t>
      </w:r>
      <w:r w:rsidR="001A375B" w:rsidRPr="001726B4">
        <w:rPr>
          <w:rFonts w:cs="Arial"/>
          <w:i/>
          <w:iCs/>
          <w:highlight w:val="yellow"/>
        </w:rPr>
        <w:t xml:space="preserve"> </w:t>
      </w:r>
    </w:p>
    <w:p w14:paraId="049C6317" w14:textId="77777777" w:rsidR="001A375B" w:rsidRPr="001726B4" w:rsidRDefault="001A375B" w:rsidP="001A1361">
      <w:pPr>
        <w:pStyle w:val="NICEnormal"/>
        <w:spacing w:after="0" w:line="240" w:lineRule="auto"/>
        <w:rPr>
          <w:rFonts w:cs="Arial"/>
          <w:i/>
          <w:iCs/>
          <w:highlight w:val="yellow"/>
        </w:rPr>
      </w:pPr>
    </w:p>
    <w:p w14:paraId="44063D93" w14:textId="587A7BA2" w:rsidR="001A375B" w:rsidRPr="001726B4" w:rsidRDefault="001A375B" w:rsidP="001A1361">
      <w:pPr>
        <w:pStyle w:val="NICEnormal"/>
        <w:spacing w:after="0" w:line="240" w:lineRule="auto"/>
        <w:rPr>
          <w:rFonts w:cs="Arial"/>
          <w:i/>
          <w:iCs/>
        </w:rPr>
      </w:pPr>
      <w:r w:rsidRPr="001726B4">
        <w:rPr>
          <w:rFonts w:cs="Arial"/>
          <w:i/>
          <w:iCs/>
          <w:highlight w:val="yellow"/>
        </w:rPr>
        <w:t>Refer to details about responsibilities for data collection, management and reporting</w:t>
      </w:r>
      <w:r w:rsidR="001726B4">
        <w:rPr>
          <w:rFonts w:cs="Arial"/>
          <w:i/>
          <w:iCs/>
          <w:highlight w:val="yellow"/>
        </w:rPr>
        <w:t xml:space="preserve"> in the OBMEA, clearly explaining </w:t>
      </w:r>
      <w:r w:rsidRPr="001726B4">
        <w:rPr>
          <w:rFonts w:cs="Arial"/>
          <w:i/>
          <w:iCs/>
          <w:highlight w:val="yellow"/>
        </w:rPr>
        <w:t>how data will be shared to ensure patient confidentiality.</w:t>
      </w:r>
    </w:p>
    <w:p w14:paraId="16EFBBC5" w14:textId="77777777" w:rsidR="0074542B" w:rsidRDefault="0074542B" w:rsidP="00A926BE">
      <w:pPr>
        <w:pStyle w:val="Paragraphnonumbers"/>
        <w:spacing w:after="0" w:line="240" w:lineRule="auto"/>
        <w:rPr>
          <w:b/>
        </w:rPr>
      </w:pPr>
    </w:p>
    <w:p w14:paraId="40E4EE06" w14:textId="77777777" w:rsidR="0074542B" w:rsidRDefault="0074542B">
      <w:pPr>
        <w:rPr>
          <w:rFonts w:ascii="Arial" w:hAnsi="Arial"/>
          <w:b/>
        </w:rPr>
      </w:pPr>
      <w:r>
        <w:rPr>
          <w:b/>
        </w:rPr>
        <w:br w:type="page"/>
      </w:r>
    </w:p>
    <w:p w14:paraId="59097D41" w14:textId="06031FBB" w:rsidR="00CF4C38" w:rsidRDefault="00CF4C38" w:rsidP="00A926BE">
      <w:pPr>
        <w:pStyle w:val="Paragraphnonumbers"/>
        <w:spacing w:after="0" w:line="240" w:lineRule="auto"/>
        <w:rPr>
          <w:b/>
        </w:rPr>
      </w:pPr>
      <w:r w:rsidRPr="00382962">
        <w:rPr>
          <w:b/>
        </w:rPr>
        <w:lastRenderedPageBreak/>
        <w:t xml:space="preserve">PURPOSE </w:t>
      </w:r>
    </w:p>
    <w:p w14:paraId="37A43A96" w14:textId="77777777" w:rsidR="0074542B" w:rsidRDefault="0074542B" w:rsidP="00A926BE">
      <w:pPr>
        <w:pStyle w:val="Paragraphnonumbers"/>
        <w:spacing w:after="0" w:line="240" w:lineRule="auto"/>
        <w:rPr>
          <w:bCs/>
          <w:i/>
          <w:iCs/>
          <w:highlight w:val="yellow"/>
        </w:rPr>
      </w:pPr>
    </w:p>
    <w:p w14:paraId="2EC98CE1" w14:textId="4C496B3F" w:rsidR="00602001" w:rsidRPr="001726B4" w:rsidRDefault="00602001" w:rsidP="00A926BE">
      <w:pPr>
        <w:pStyle w:val="Paragraphnonumbers"/>
        <w:spacing w:after="0" w:line="240" w:lineRule="auto"/>
        <w:rPr>
          <w:bCs/>
          <w:i/>
          <w:iCs/>
        </w:rPr>
      </w:pPr>
      <w:r w:rsidRPr="001726B4">
        <w:rPr>
          <w:bCs/>
          <w:i/>
          <w:iCs/>
          <w:highlight w:val="yellow"/>
        </w:rPr>
        <w:t xml:space="preserve">Describe remit of the </w:t>
      </w:r>
      <w:r w:rsidR="00026875" w:rsidRPr="001726B4">
        <w:rPr>
          <w:bCs/>
          <w:i/>
          <w:iCs/>
          <w:highlight w:val="yellow"/>
        </w:rPr>
        <w:t>Committee</w:t>
      </w:r>
      <w:r w:rsidR="0024445E">
        <w:rPr>
          <w:bCs/>
          <w:i/>
          <w:iCs/>
          <w:highlight w:val="yellow"/>
        </w:rPr>
        <w:t>. C</w:t>
      </w:r>
      <w:r w:rsidRPr="001726B4">
        <w:rPr>
          <w:bCs/>
          <w:i/>
          <w:iCs/>
          <w:highlight w:val="yellow"/>
        </w:rPr>
        <w:t>onsider including</w:t>
      </w:r>
      <w:r w:rsidR="001726B4" w:rsidRPr="001726B4">
        <w:rPr>
          <w:bCs/>
          <w:i/>
          <w:iCs/>
          <w:highlight w:val="yellow"/>
        </w:rPr>
        <w:t xml:space="preserve"> elements such as:</w:t>
      </w:r>
      <w:r w:rsidRPr="001726B4">
        <w:rPr>
          <w:bCs/>
          <w:i/>
          <w:iCs/>
        </w:rPr>
        <w:t xml:space="preserve"> </w:t>
      </w:r>
    </w:p>
    <w:p w14:paraId="1440FB4B" w14:textId="77777777" w:rsidR="001A1361" w:rsidRDefault="001A1361" w:rsidP="00B07CF8">
      <w:pPr>
        <w:pStyle w:val="Paragraphnonumbers"/>
        <w:spacing w:after="0" w:line="240" w:lineRule="auto"/>
      </w:pPr>
    </w:p>
    <w:p w14:paraId="7D1D34FA" w14:textId="77777777" w:rsidR="0074542B" w:rsidRDefault="00E6563D" w:rsidP="00B07CF8">
      <w:pPr>
        <w:pStyle w:val="Paragraphnonumbers"/>
        <w:spacing w:after="0" w:line="240" w:lineRule="auto"/>
      </w:pPr>
      <w:r>
        <w:t xml:space="preserve">The </w:t>
      </w:r>
      <w:r w:rsidR="00026875">
        <w:t>Committee</w:t>
      </w:r>
      <w:r>
        <w:t xml:space="preserve"> </w:t>
      </w:r>
      <w:r w:rsidR="00312604">
        <w:t xml:space="preserve">will meet </w:t>
      </w:r>
      <w:r w:rsidR="00312604">
        <w:rPr>
          <w:color w:val="FF0000"/>
        </w:rPr>
        <w:t xml:space="preserve">quarterly </w:t>
      </w:r>
      <w:r w:rsidR="00312604">
        <w:t>and</w:t>
      </w:r>
      <w:r w:rsidR="00312604">
        <w:rPr>
          <w:color w:val="FF0000"/>
        </w:rPr>
        <w:t xml:space="preserve"> </w:t>
      </w:r>
      <w:r>
        <w:t xml:space="preserve">shall be responsible for monitoring </w:t>
      </w:r>
      <w:r w:rsidR="00CF4C38">
        <w:t xml:space="preserve">the </w:t>
      </w:r>
      <w:r w:rsidR="00E80CFC">
        <w:t xml:space="preserve">implementation </w:t>
      </w:r>
      <w:r w:rsidR="00CF4C38">
        <w:t xml:space="preserve">of the </w:t>
      </w:r>
      <w:r w:rsidR="009A36E1">
        <w:t>OB</w:t>
      </w:r>
      <w:r w:rsidR="00AA77C9">
        <w:t>MEA</w:t>
      </w:r>
      <w:r>
        <w:t xml:space="preserve"> and recommending actions to support its operation</w:t>
      </w:r>
      <w:r w:rsidR="00C66C47">
        <w:t>.</w:t>
      </w:r>
      <w:r>
        <w:t xml:space="preserve"> </w:t>
      </w:r>
    </w:p>
    <w:p w14:paraId="127B5A34" w14:textId="77777777" w:rsidR="0074542B" w:rsidRDefault="0074542B" w:rsidP="00B07CF8">
      <w:pPr>
        <w:pStyle w:val="Paragraphnonumbers"/>
        <w:spacing w:after="0" w:line="240" w:lineRule="auto"/>
      </w:pPr>
    </w:p>
    <w:p w14:paraId="4623E5BD" w14:textId="64866270" w:rsidR="00B67058" w:rsidRDefault="00E6563D" w:rsidP="00B07CF8">
      <w:pPr>
        <w:pStyle w:val="Paragraphnonumbers"/>
        <w:spacing w:after="0" w:line="240" w:lineRule="auto"/>
      </w:pPr>
      <w:r>
        <w:t>This include</w:t>
      </w:r>
      <w:r w:rsidR="001726B4">
        <w:t>s</w:t>
      </w:r>
      <w:r>
        <w:t>:</w:t>
      </w:r>
      <w:r w:rsidR="00CF4C38">
        <w:t xml:space="preserve"> </w:t>
      </w:r>
    </w:p>
    <w:p w14:paraId="1E7D45E2" w14:textId="761DCD7B" w:rsidR="007B5756" w:rsidRDefault="00E6563D" w:rsidP="00F20044">
      <w:pPr>
        <w:pStyle w:val="Paragraphnonumbers"/>
        <w:numPr>
          <w:ilvl w:val="0"/>
          <w:numId w:val="40"/>
        </w:numPr>
        <w:spacing w:after="0" w:line="240" w:lineRule="auto"/>
      </w:pPr>
      <w:r>
        <w:t xml:space="preserve">Monitoring progress of data collection as </w:t>
      </w:r>
      <w:r w:rsidR="00CF4CB8">
        <w:t xml:space="preserve">described in </w:t>
      </w:r>
      <w:r>
        <w:t xml:space="preserve">the </w:t>
      </w:r>
      <w:r w:rsidR="009A36E1">
        <w:t>OB</w:t>
      </w:r>
      <w:r w:rsidR="00A926BE">
        <w:t>MEA</w:t>
      </w:r>
      <w:r w:rsidR="00D86B57">
        <w:t xml:space="preserve"> to e</w:t>
      </w:r>
      <w:r w:rsidR="007B5756">
        <w:t>nsur</w:t>
      </w:r>
      <w:r w:rsidR="00D86B57">
        <w:t>e</w:t>
      </w:r>
      <w:r w:rsidR="007B5756">
        <w:t xml:space="preserve"> data quality</w:t>
      </w:r>
      <w:r w:rsidR="00D11DF0">
        <w:t xml:space="preserve"> and</w:t>
      </w:r>
      <w:r w:rsidR="009A36E1">
        <w:t xml:space="preserve"> </w:t>
      </w:r>
      <w:r w:rsidR="00D11DF0">
        <w:t>completeness</w:t>
      </w:r>
      <w:r w:rsidR="007862CB">
        <w:t>, considering issues such as:</w:t>
      </w:r>
    </w:p>
    <w:p w14:paraId="15F44FAE" w14:textId="77777777" w:rsidR="00CF0D16" w:rsidRDefault="00D86B57" w:rsidP="0046596E">
      <w:pPr>
        <w:pStyle w:val="Paragraphnonumbers"/>
        <w:numPr>
          <w:ilvl w:val="1"/>
          <w:numId w:val="40"/>
        </w:numPr>
        <w:spacing w:after="0" w:line="240" w:lineRule="auto"/>
        <w:ind w:left="1134" w:hanging="425"/>
      </w:pPr>
      <w:r>
        <w:t xml:space="preserve">patient </w:t>
      </w:r>
      <w:r w:rsidR="00E6563D" w:rsidRPr="00B67058">
        <w:t xml:space="preserve">enrolment </w:t>
      </w:r>
    </w:p>
    <w:p w14:paraId="552735BE" w14:textId="77777777" w:rsidR="00CF0D16" w:rsidRDefault="007862CB" w:rsidP="0046596E">
      <w:pPr>
        <w:pStyle w:val="Paragraphnonumbers"/>
        <w:numPr>
          <w:ilvl w:val="2"/>
          <w:numId w:val="40"/>
        </w:numPr>
        <w:spacing w:after="0" w:line="240" w:lineRule="auto"/>
        <w:ind w:left="1560" w:hanging="142"/>
      </w:pPr>
      <w:r>
        <w:t>in</w:t>
      </w:r>
      <w:r w:rsidR="00E6563D" w:rsidRPr="00B67058">
        <w:t xml:space="preserve"> </w:t>
      </w:r>
      <w:r w:rsidR="00D86B57">
        <w:t>each centre</w:t>
      </w:r>
      <w:r w:rsidR="00CF0D16">
        <w:t xml:space="preserve"> </w:t>
      </w:r>
    </w:p>
    <w:p w14:paraId="75D01147" w14:textId="6A9C89F4" w:rsidR="00D86B57" w:rsidRDefault="00CF0D16" w:rsidP="0046596E">
      <w:pPr>
        <w:pStyle w:val="Paragraphnonumbers"/>
        <w:numPr>
          <w:ilvl w:val="2"/>
          <w:numId w:val="40"/>
        </w:numPr>
        <w:spacing w:after="0" w:line="240" w:lineRule="auto"/>
        <w:ind w:left="1560" w:hanging="142"/>
      </w:pPr>
      <w:r>
        <w:t xml:space="preserve">checking prescribing figures vs </w:t>
      </w:r>
      <w:r w:rsidR="0046596E">
        <w:t>entries in the data collection system</w:t>
      </w:r>
      <w:r w:rsidR="00BF1941">
        <w:t xml:space="preserve"> </w:t>
      </w:r>
    </w:p>
    <w:p w14:paraId="1B8D2388" w14:textId="0274A822" w:rsidR="00BF1941" w:rsidRDefault="0046596E" w:rsidP="0046596E">
      <w:pPr>
        <w:pStyle w:val="Paragraphnonumbers"/>
        <w:numPr>
          <w:ilvl w:val="2"/>
          <w:numId w:val="40"/>
        </w:numPr>
        <w:spacing w:after="0" w:line="240" w:lineRule="auto"/>
        <w:ind w:left="1560" w:hanging="142"/>
      </w:pPr>
      <w:r>
        <w:t xml:space="preserve">checking </w:t>
      </w:r>
      <w:r w:rsidR="00BF1941">
        <w:t>recruitmen</w:t>
      </w:r>
      <w:r>
        <w:t>t rate</w:t>
      </w:r>
      <w:r w:rsidR="004F0CD1">
        <w:t xml:space="preserve"> and if slower than anticipated exploring reasons for this</w:t>
      </w:r>
    </w:p>
    <w:p w14:paraId="38062997" w14:textId="43E6CFD8" w:rsidR="00D86B57" w:rsidRDefault="007862CB" w:rsidP="0046596E">
      <w:pPr>
        <w:pStyle w:val="Paragraphnonumbers"/>
        <w:numPr>
          <w:ilvl w:val="1"/>
          <w:numId w:val="40"/>
        </w:numPr>
        <w:spacing w:after="0" w:line="240" w:lineRule="auto"/>
        <w:ind w:left="1134" w:hanging="425"/>
      </w:pPr>
      <w:r>
        <w:t xml:space="preserve">checking </w:t>
      </w:r>
      <w:r w:rsidR="00D86B57">
        <w:t xml:space="preserve">relevant assessments are being </w:t>
      </w:r>
      <w:r w:rsidR="00D11DF0">
        <w:t>under</w:t>
      </w:r>
      <w:r w:rsidR="00D86B57">
        <w:t>taken at appropriate timepoints (even after treatment discontinuation)</w:t>
      </w:r>
      <w:r w:rsidR="00D11DF0">
        <w:t xml:space="preserve"> and data is of good quality</w:t>
      </w:r>
      <w:r w:rsidR="00D616A5">
        <w:t xml:space="preserve"> and any challenges</w:t>
      </w:r>
      <w:r w:rsidR="00BF1941">
        <w:t xml:space="preserve"> in clinical practice</w:t>
      </w:r>
      <w:r w:rsidR="004F0CD1">
        <w:t xml:space="preserve"> are resolved</w:t>
      </w:r>
      <w:r w:rsidR="00D616A5">
        <w:t xml:space="preserve"> (</w:t>
      </w:r>
      <w:proofErr w:type="gramStart"/>
      <w:r w:rsidR="00D616A5">
        <w:t>e.g.</w:t>
      </w:r>
      <w:proofErr w:type="gramEnd"/>
      <w:r w:rsidR="00D616A5">
        <w:t xml:space="preserve"> accessing genetic tests)</w:t>
      </w:r>
    </w:p>
    <w:p w14:paraId="3FE504ED" w14:textId="0DF1D1D1" w:rsidR="00D11DF0" w:rsidRDefault="00D11DF0" w:rsidP="0046596E">
      <w:pPr>
        <w:pStyle w:val="Paragraphnonumbers"/>
        <w:numPr>
          <w:ilvl w:val="1"/>
          <w:numId w:val="40"/>
        </w:numPr>
        <w:spacing w:after="0" w:line="240" w:lineRule="auto"/>
        <w:ind w:left="1134" w:hanging="425"/>
      </w:pPr>
      <w:r>
        <w:t xml:space="preserve">agreeing </w:t>
      </w:r>
      <w:r w:rsidR="00BF1941">
        <w:t>reasonable adjustments</w:t>
      </w:r>
      <w:r>
        <w:t xml:space="preserve"> for patients unable to perform assessments </w:t>
      </w:r>
    </w:p>
    <w:p w14:paraId="39569954" w14:textId="2D38EC70" w:rsidR="00D11DF0" w:rsidRDefault="00D11DF0" w:rsidP="0046596E">
      <w:pPr>
        <w:pStyle w:val="Paragraphnonumbers"/>
        <w:numPr>
          <w:ilvl w:val="1"/>
          <w:numId w:val="40"/>
        </w:numPr>
        <w:spacing w:after="0" w:line="240" w:lineRule="auto"/>
        <w:ind w:left="1134" w:hanging="425"/>
      </w:pPr>
      <w:r>
        <w:t>agreeing data management rules (</w:t>
      </w:r>
      <w:proofErr w:type="gramStart"/>
      <w:r>
        <w:t>e.g.</w:t>
      </w:r>
      <w:proofErr w:type="gramEnd"/>
      <w:r>
        <w:t xml:space="preserve"> increasing time windows around visits, managing missed visits etc)</w:t>
      </w:r>
    </w:p>
    <w:p w14:paraId="546A6643" w14:textId="1BB08188" w:rsidR="00262989" w:rsidRDefault="00262989" w:rsidP="0074542B">
      <w:pPr>
        <w:pStyle w:val="Paragraphnonumbers"/>
        <w:numPr>
          <w:ilvl w:val="0"/>
          <w:numId w:val="40"/>
        </w:numPr>
        <w:spacing w:before="120" w:after="0" w:line="240" w:lineRule="auto"/>
        <w:ind w:left="714" w:hanging="357"/>
      </w:pPr>
      <w:r>
        <w:t xml:space="preserve">Reviewing </w:t>
      </w:r>
      <w:r w:rsidR="002407AF" w:rsidRPr="002407AF">
        <w:rPr>
          <w:color w:val="FF0000"/>
        </w:rPr>
        <w:t>6-monthly/</w:t>
      </w:r>
      <w:r w:rsidRPr="00262989">
        <w:rPr>
          <w:color w:val="FF0000"/>
        </w:rPr>
        <w:t xml:space="preserve">annual </w:t>
      </w:r>
      <w:r>
        <w:t xml:space="preserve">status updates on the </w:t>
      </w:r>
      <w:r w:rsidR="00D11DF0">
        <w:t>sufficiency</w:t>
      </w:r>
      <w:r>
        <w:t xml:space="preserve"> of </w:t>
      </w:r>
      <w:r w:rsidR="00D11DF0">
        <w:t xml:space="preserve">the </w:t>
      </w:r>
      <w:r>
        <w:t>data with regards to the anticipated re-appraisal date</w:t>
      </w:r>
      <w:r w:rsidR="007814FA">
        <w:t xml:space="preserve"> and any treatment issues (</w:t>
      </w:r>
      <w:proofErr w:type="gramStart"/>
      <w:r w:rsidR="007814FA">
        <w:t>e.g.</w:t>
      </w:r>
      <w:proofErr w:type="gramEnd"/>
      <w:r w:rsidR="007814FA">
        <w:t xml:space="preserve"> as identified in adverse events or reasons for discontinuations)</w:t>
      </w:r>
    </w:p>
    <w:p w14:paraId="2CDA674F" w14:textId="2C6871E7" w:rsidR="00D616A5" w:rsidRDefault="00D616A5" w:rsidP="0074542B">
      <w:pPr>
        <w:pStyle w:val="Paragraphnonumbers"/>
        <w:numPr>
          <w:ilvl w:val="0"/>
          <w:numId w:val="40"/>
        </w:numPr>
        <w:spacing w:before="120" w:after="0" w:line="240" w:lineRule="auto"/>
        <w:ind w:left="714" w:hanging="357"/>
      </w:pPr>
      <w:r>
        <w:t>Addressing feedback from clinicians and patients about any issues</w:t>
      </w:r>
    </w:p>
    <w:p w14:paraId="7A6A3BD8" w14:textId="332D66AA" w:rsidR="00782819" w:rsidRDefault="008265B8" w:rsidP="0074542B">
      <w:pPr>
        <w:pStyle w:val="Paragraphnonumbers"/>
        <w:numPr>
          <w:ilvl w:val="0"/>
          <w:numId w:val="40"/>
        </w:numPr>
        <w:spacing w:before="120" w:after="0" w:line="240" w:lineRule="auto"/>
        <w:ind w:left="714" w:hanging="357"/>
      </w:pPr>
      <w:r>
        <w:t>Discussing</w:t>
      </w:r>
      <w:r w:rsidR="00E6563D">
        <w:t xml:space="preserve"> proposed amendments to the </w:t>
      </w:r>
      <w:r w:rsidR="007B58C0">
        <w:t>OB</w:t>
      </w:r>
      <w:r w:rsidR="00AA77C9">
        <w:t>MEA</w:t>
      </w:r>
      <w:r w:rsidR="00E6563D">
        <w:t xml:space="preserve"> (which would be subject to renegotiation by </w:t>
      </w:r>
      <w:r w:rsidR="00DC061F">
        <w:t xml:space="preserve">with </w:t>
      </w:r>
      <w:r w:rsidR="0024445E">
        <w:t>signatories</w:t>
      </w:r>
      <w:r w:rsidR="00705102">
        <w:t>).</w:t>
      </w:r>
    </w:p>
    <w:p w14:paraId="64F04A3B" w14:textId="43484D6E" w:rsidR="00262989" w:rsidRDefault="00262989" w:rsidP="0074542B">
      <w:pPr>
        <w:pStyle w:val="Paragraphnonumbers"/>
        <w:numPr>
          <w:ilvl w:val="0"/>
          <w:numId w:val="40"/>
        </w:numPr>
        <w:spacing w:before="120" w:after="0" w:line="240" w:lineRule="auto"/>
        <w:ind w:left="714" w:hanging="357"/>
      </w:pPr>
      <w:r>
        <w:t xml:space="preserve">Agreeing information leaflets and project updates </w:t>
      </w:r>
      <w:r w:rsidR="00957BB4">
        <w:t>to be</w:t>
      </w:r>
      <w:r>
        <w:t xml:space="preserve"> shared with stakeholders (patients, </w:t>
      </w:r>
      <w:r w:rsidR="00543A1E">
        <w:t xml:space="preserve">carers, </w:t>
      </w:r>
      <w:r>
        <w:t>clinicians, health service).</w:t>
      </w:r>
    </w:p>
    <w:p w14:paraId="43FD8C48" w14:textId="019CCCDB" w:rsidR="001A375B" w:rsidRDefault="001A375B" w:rsidP="0074542B">
      <w:pPr>
        <w:pStyle w:val="Paragraphnonumbers"/>
        <w:numPr>
          <w:ilvl w:val="0"/>
          <w:numId w:val="40"/>
        </w:numPr>
        <w:spacing w:before="120" w:after="0" w:line="240" w:lineRule="auto"/>
        <w:ind w:left="714" w:hanging="357"/>
      </w:pPr>
      <w:r>
        <w:t>Providing a</w:t>
      </w:r>
      <w:r w:rsidR="008265B8">
        <w:t xml:space="preserve"> mid-term </w:t>
      </w:r>
      <w:r>
        <w:t>report to the appraisal</w:t>
      </w:r>
      <w:r w:rsidR="0024445E">
        <w:t>/pricing and reimbursement</w:t>
      </w:r>
      <w:r>
        <w:t xml:space="preserve"> committee about progress.</w:t>
      </w:r>
    </w:p>
    <w:p w14:paraId="645FE4ED" w14:textId="195ED3B1" w:rsidR="001A375B" w:rsidRDefault="001A375B" w:rsidP="0074542B">
      <w:pPr>
        <w:pStyle w:val="Paragraphnonumbers"/>
        <w:numPr>
          <w:ilvl w:val="0"/>
          <w:numId w:val="40"/>
        </w:numPr>
        <w:spacing w:before="120" w:after="0" w:line="240" w:lineRule="auto"/>
        <w:ind w:left="714" w:hanging="357"/>
      </w:pPr>
      <w:r>
        <w:t>Pr</w:t>
      </w:r>
      <w:r w:rsidR="008265B8">
        <w:t>esenting</w:t>
      </w:r>
      <w:r w:rsidR="00262989">
        <w:t xml:space="preserve"> a final report on the OBMEA</w:t>
      </w:r>
      <w:r w:rsidR="008265B8">
        <w:t xml:space="preserve"> to the HTA</w:t>
      </w:r>
      <w:r w:rsidR="0024445E">
        <w:t>/Payer</w:t>
      </w:r>
      <w:r w:rsidR="008265B8">
        <w:t xml:space="preserve"> staff and appraisal</w:t>
      </w:r>
      <w:r w:rsidR="0024445E">
        <w:t>/pricing and reimbursement</w:t>
      </w:r>
      <w:r w:rsidR="008265B8">
        <w:t xml:space="preserve"> committee</w:t>
      </w:r>
      <w:r w:rsidR="00552FE6">
        <w:t xml:space="preserve"> at the outset of the re-appraisal</w:t>
      </w:r>
      <w:r w:rsidR="0024445E">
        <w:t>. This should document an</w:t>
      </w:r>
      <w:r w:rsidR="00262989">
        <w:t>y challenges faced in data collection</w:t>
      </w:r>
      <w:r w:rsidR="008265B8">
        <w:t xml:space="preserve"> for consideration in the cr</w:t>
      </w:r>
      <w:r w:rsidR="00262989">
        <w:t xml:space="preserve">itical assessment </w:t>
      </w:r>
      <w:r w:rsidR="008265B8">
        <w:t>and</w:t>
      </w:r>
      <w:r w:rsidR="00262989">
        <w:t xml:space="preserve"> </w:t>
      </w:r>
      <w:r w:rsidR="00552FE6">
        <w:t>re-</w:t>
      </w:r>
      <w:r w:rsidR="00262989">
        <w:t>appraisal</w:t>
      </w:r>
      <w:r w:rsidR="008265B8">
        <w:t xml:space="preserve"> deliberations</w:t>
      </w:r>
      <w:r w:rsidR="00262989">
        <w:t>.</w:t>
      </w:r>
    </w:p>
    <w:p w14:paraId="7E44DA12" w14:textId="77777777" w:rsidR="00BA6DDF" w:rsidRDefault="00BA6DDF" w:rsidP="00B07CF8">
      <w:pPr>
        <w:pStyle w:val="Paragraphnonumbers"/>
        <w:spacing w:after="0" w:line="240" w:lineRule="auto"/>
      </w:pPr>
    </w:p>
    <w:p w14:paraId="0CD72361" w14:textId="71F90CAE" w:rsidR="00E80CFC" w:rsidRDefault="002F5FF0" w:rsidP="00B07CF8">
      <w:pPr>
        <w:pStyle w:val="Paragraphnonumbers"/>
        <w:spacing w:after="0" w:line="240" w:lineRule="auto"/>
      </w:pPr>
      <w:r>
        <w:t>T</w:t>
      </w:r>
      <w:r w:rsidR="00E80CFC">
        <w:t xml:space="preserve">he </w:t>
      </w:r>
      <w:r w:rsidR="00026875">
        <w:t>Committee</w:t>
      </w:r>
      <w:r w:rsidR="00E80CFC">
        <w:t xml:space="preserve"> will </w:t>
      </w:r>
      <w:r w:rsidR="00E80CFC" w:rsidRPr="002F5FF0">
        <w:rPr>
          <w:u w:val="single"/>
        </w:rPr>
        <w:t>not</w:t>
      </w:r>
      <w:r w:rsidR="00E80CFC">
        <w:t>:</w:t>
      </w:r>
    </w:p>
    <w:p w14:paraId="347508FF" w14:textId="421BAF3A" w:rsidR="00E80CFC" w:rsidRDefault="00E80CFC" w:rsidP="0074542B">
      <w:pPr>
        <w:pStyle w:val="Paragraphnonumbers"/>
        <w:numPr>
          <w:ilvl w:val="0"/>
          <w:numId w:val="42"/>
        </w:numPr>
        <w:spacing w:after="120" w:line="240" w:lineRule="auto"/>
        <w:ind w:left="709" w:hanging="425"/>
      </w:pPr>
      <w:r>
        <w:t xml:space="preserve">Discuss or negotiate the </w:t>
      </w:r>
      <w:r w:rsidRPr="008265B8">
        <w:rPr>
          <w:color w:val="00B050"/>
        </w:rPr>
        <w:t>commercial</w:t>
      </w:r>
      <w:r w:rsidR="008265B8" w:rsidRPr="008265B8">
        <w:rPr>
          <w:color w:val="00B050"/>
        </w:rPr>
        <w:t>/pricing</w:t>
      </w:r>
      <w:r w:rsidRPr="008265B8">
        <w:rPr>
          <w:color w:val="00B050"/>
        </w:rPr>
        <w:t xml:space="preserve"> </w:t>
      </w:r>
      <w:r>
        <w:t>arrangement</w:t>
      </w:r>
      <w:r w:rsidR="008265B8">
        <w:t>.</w:t>
      </w:r>
      <w:r>
        <w:t xml:space="preserve"> </w:t>
      </w:r>
    </w:p>
    <w:p w14:paraId="4883D214" w14:textId="63BC6286" w:rsidR="007B58C0" w:rsidRPr="00CF4C38" w:rsidRDefault="007B58C0" w:rsidP="0074542B">
      <w:pPr>
        <w:pStyle w:val="Paragraphnonumbers"/>
        <w:numPr>
          <w:ilvl w:val="0"/>
          <w:numId w:val="42"/>
        </w:numPr>
        <w:spacing w:after="120" w:line="240" w:lineRule="auto"/>
        <w:ind w:left="709" w:hanging="425"/>
      </w:pPr>
      <w:r>
        <w:t xml:space="preserve">Consider any new data with a view to requesting to expand the existing recommendation from the </w:t>
      </w:r>
      <w:r w:rsidR="008265B8">
        <w:t xml:space="preserve">appraisal </w:t>
      </w:r>
      <w:r>
        <w:t>committee.</w:t>
      </w:r>
    </w:p>
    <w:p w14:paraId="08E6E06D" w14:textId="0AFBA953" w:rsidR="00E80CFC" w:rsidRPr="007B58C0" w:rsidRDefault="007B58C0" w:rsidP="0074542B">
      <w:pPr>
        <w:pStyle w:val="Paragraphnonumbers"/>
        <w:numPr>
          <w:ilvl w:val="0"/>
          <w:numId w:val="42"/>
        </w:numPr>
        <w:spacing w:after="120" w:line="240" w:lineRule="auto"/>
        <w:ind w:left="709" w:hanging="425"/>
      </w:pPr>
      <w:r>
        <w:t xml:space="preserve">Make other major </w:t>
      </w:r>
      <w:r w:rsidR="00E80CFC" w:rsidRPr="007B58C0">
        <w:t>amend</w:t>
      </w:r>
      <w:r>
        <w:t>ments to</w:t>
      </w:r>
      <w:r w:rsidR="00E80CFC" w:rsidRPr="007B58C0">
        <w:t xml:space="preserve"> the </w:t>
      </w:r>
      <w:r>
        <w:t>OB</w:t>
      </w:r>
      <w:r w:rsidR="00AA77C9" w:rsidRPr="007B58C0">
        <w:t>MEA</w:t>
      </w:r>
    </w:p>
    <w:p w14:paraId="07A3E37B" w14:textId="0AFB390E" w:rsidR="00E80CFC" w:rsidRPr="001A1361" w:rsidRDefault="00E80CFC" w:rsidP="0074542B">
      <w:pPr>
        <w:pStyle w:val="Paragraphnonumbers"/>
        <w:numPr>
          <w:ilvl w:val="0"/>
          <w:numId w:val="42"/>
        </w:numPr>
        <w:spacing w:after="120" w:line="240" w:lineRule="auto"/>
        <w:ind w:left="709" w:hanging="425"/>
        <w:rPr>
          <w:color w:val="00B050"/>
        </w:rPr>
      </w:pPr>
      <w:r w:rsidRPr="001A1361">
        <w:rPr>
          <w:color w:val="00B050"/>
        </w:rPr>
        <w:t xml:space="preserve">Discuss </w:t>
      </w:r>
      <w:r w:rsidR="00CF4CB8" w:rsidRPr="001A1361">
        <w:rPr>
          <w:color w:val="00B050"/>
        </w:rPr>
        <w:t xml:space="preserve">or review </w:t>
      </w:r>
      <w:r w:rsidRPr="001A1361">
        <w:rPr>
          <w:color w:val="00B050"/>
        </w:rPr>
        <w:t>individual patient</w:t>
      </w:r>
      <w:r w:rsidR="00CF4CB8" w:rsidRPr="001A1361">
        <w:rPr>
          <w:color w:val="00B050"/>
        </w:rPr>
        <w:t xml:space="preserve"> cases</w:t>
      </w:r>
      <w:r w:rsidRPr="001A1361">
        <w:rPr>
          <w:color w:val="00B050"/>
        </w:rPr>
        <w:t>.</w:t>
      </w:r>
    </w:p>
    <w:p w14:paraId="7C157268" w14:textId="77777777" w:rsidR="001D5676" w:rsidRDefault="001D5676" w:rsidP="00A926BE">
      <w:pPr>
        <w:pStyle w:val="Paragraphnonumbers"/>
        <w:spacing w:after="0" w:line="240" w:lineRule="auto"/>
        <w:rPr>
          <w:b/>
        </w:rPr>
      </w:pPr>
    </w:p>
    <w:p w14:paraId="6830B34F" w14:textId="77777777" w:rsidR="0074542B" w:rsidRDefault="0074542B">
      <w:pPr>
        <w:rPr>
          <w:rFonts w:ascii="Arial" w:hAnsi="Arial"/>
          <w:b/>
        </w:rPr>
      </w:pPr>
      <w:r>
        <w:rPr>
          <w:b/>
        </w:rPr>
        <w:br w:type="page"/>
      </w:r>
    </w:p>
    <w:p w14:paraId="41125C81" w14:textId="32685925" w:rsidR="00233B82" w:rsidRDefault="00233B82" w:rsidP="00A926BE">
      <w:pPr>
        <w:pStyle w:val="Paragraphnonumbers"/>
        <w:spacing w:after="0" w:line="240" w:lineRule="auto"/>
        <w:rPr>
          <w:b/>
        </w:rPr>
      </w:pPr>
      <w:r w:rsidRPr="004A6F88">
        <w:rPr>
          <w:b/>
        </w:rPr>
        <w:lastRenderedPageBreak/>
        <w:t xml:space="preserve">MEMBERSHIP </w:t>
      </w:r>
    </w:p>
    <w:p w14:paraId="56B0C4D3" w14:textId="77777777" w:rsidR="00A926BE" w:rsidRPr="0042388F" w:rsidRDefault="00A926BE" w:rsidP="00A926BE">
      <w:pPr>
        <w:pStyle w:val="Paragraphnonumbers"/>
        <w:spacing w:after="0" w:line="240" w:lineRule="auto"/>
        <w:rPr>
          <w:b/>
          <w:sz w:val="18"/>
          <w:szCs w:val="18"/>
        </w:rPr>
      </w:pPr>
    </w:p>
    <w:p w14:paraId="7873A1E4" w14:textId="77777777" w:rsidR="00233B82" w:rsidRDefault="00233B82" w:rsidP="00A926BE">
      <w:pPr>
        <w:pStyle w:val="Paragraphnonumbers"/>
        <w:spacing w:after="0" w:line="240" w:lineRule="auto"/>
      </w:pPr>
      <w:r>
        <w:t xml:space="preserve">The membership of the </w:t>
      </w:r>
      <w:bookmarkStart w:id="0" w:name="_Hlk14098418"/>
      <w:r>
        <w:t xml:space="preserve">Committee </w:t>
      </w:r>
      <w:bookmarkEnd w:id="0"/>
      <w:r>
        <w:t>is as follows:</w:t>
      </w:r>
    </w:p>
    <w:p w14:paraId="0716B0A7" w14:textId="1F2AC3B9" w:rsidR="00233B82" w:rsidRDefault="00233B82" w:rsidP="002F5FF0">
      <w:pPr>
        <w:pStyle w:val="Paragraphnonumbers"/>
        <w:numPr>
          <w:ilvl w:val="0"/>
          <w:numId w:val="43"/>
        </w:numPr>
        <w:spacing w:after="0" w:line="240" w:lineRule="auto"/>
        <w:rPr>
          <w:i/>
          <w:iCs/>
          <w:color w:val="00B050"/>
        </w:rPr>
      </w:pPr>
      <w:r w:rsidRPr="002F5FF0">
        <w:rPr>
          <w:i/>
          <w:iCs/>
          <w:color w:val="00B050"/>
        </w:rPr>
        <w:t>Describe membership, this</w:t>
      </w:r>
      <w:r w:rsidR="002407AF">
        <w:rPr>
          <w:i/>
          <w:iCs/>
          <w:color w:val="00B050"/>
        </w:rPr>
        <w:t xml:space="preserve"> should include representatives of all the signatories to the OBMEA and</w:t>
      </w:r>
      <w:r w:rsidRPr="002F5FF0">
        <w:rPr>
          <w:i/>
          <w:iCs/>
          <w:color w:val="00B050"/>
        </w:rPr>
        <w:t xml:space="preserve"> may include</w:t>
      </w:r>
      <w:r w:rsidR="002407AF">
        <w:rPr>
          <w:i/>
          <w:iCs/>
          <w:color w:val="00B050"/>
        </w:rPr>
        <w:t xml:space="preserve"> others such as</w:t>
      </w:r>
      <w:r w:rsidRPr="002F5FF0">
        <w:rPr>
          <w:i/>
          <w:iCs/>
          <w:color w:val="00B050"/>
        </w:rPr>
        <w:t xml:space="preserve"> HTA</w:t>
      </w:r>
      <w:r w:rsidR="002F5FF0" w:rsidRPr="002F5FF0">
        <w:rPr>
          <w:i/>
          <w:iCs/>
          <w:color w:val="00B050"/>
        </w:rPr>
        <w:t>/Healthcare Payer</w:t>
      </w:r>
      <w:r w:rsidRPr="002F5FF0">
        <w:rPr>
          <w:i/>
          <w:iCs/>
          <w:color w:val="00B050"/>
        </w:rPr>
        <w:t xml:space="preserve"> </w:t>
      </w:r>
      <w:r w:rsidR="002F5FF0" w:rsidRPr="002F5FF0">
        <w:rPr>
          <w:i/>
          <w:iCs/>
          <w:color w:val="00B050"/>
        </w:rPr>
        <w:t>staff</w:t>
      </w:r>
      <w:r w:rsidRPr="002F5FF0">
        <w:rPr>
          <w:i/>
          <w:iCs/>
          <w:color w:val="00B050"/>
        </w:rPr>
        <w:t xml:space="preserve">, </w:t>
      </w:r>
      <w:r w:rsidR="002407AF">
        <w:rPr>
          <w:i/>
          <w:iCs/>
          <w:color w:val="00B050"/>
        </w:rPr>
        <w:t xml:space="preserve">treating </w:t>
      </w:r>
      <w:r w:rsidR="002F5FF0" w:rsidRPr="002F5FF0">
        <w:rPr>
          <w:i/>
          <w:iCs/>
          <w:color w:val="00B050"/>
        </w:rPr>
        <w:t xml:space="preserve">clinicians, </w:t>
      </w:r>
      <w:r w:rsidRPr="002F5FF0">
        <w:rPr>
          <w:i/>
          <w:iCs/>
          <w:color w:val="00B050"/>
        </w:rPr>
        <w:t xml:space="preserve">patient group representatives, </w:t>
      </w:r>
      <w:r w:rsidR="002F5FF0" w:rsidRPr="002F5FF0">
        <w:rPr>
          <w:i/>
          <w:iCs/>
          <w:color w:val="00B050"/>
        </w:rPr>
        <w:t>Marketing Authorisation Holder</w:t>
      </w:r>
      <w:r w:rsidR="00262989">
        <w:rPr>
          <w:i/>
          <w:iCs/>
          <w:color w:val="00B050"/>
        </w:rPr>
        <w:t>.</w:t>
      </w:r>
    </w:p>
    <w:p w14:paraId="7D5D005A" w14:textId="79879C3B" w:rsidR="00262989" w:rsidRPr="002F5FF0" w:rsidRDefault="00262989" w:rsidP="002F5FF0">
      <w:pPr>
        <w:pStyle w:val="Paragraphnonumbers"/>
        <w:numPr>
          <w:ilvl w:val="0"/>
          <w:numId w:val="43"/>
        </w:numPr>
        <w:spacing w:after="0" w:line="240" w:lineRule="auto"/>
        <w:rPr>
          <w:i/>
          <w:iCs/>
          <w:color w:val="00B050"/>
        </w:rPr>
      </w:pPr>
      <w:r>
        <w:rPr>
          <w:i/>
          <w:iCs/>
          <w:color w:val="00B050"/>
        </w:rPr>
        <w:t>Indicate if there are sections of the meeting that can only be attended by certain members due to confidentiality.</w:t>
      </w:r>
    </w:p>
    <w:p w14:paraId="1CB6BAE0" w14:textId="77777777" w:rsidR="002F5FF0" w:rsidRPr="007B58C0" w:rsidRDefault="002F5FF0" w:rsidP="002F5FF0">
      <w:pPr>
        <w:pStyle w:val="Paragraphnonumbers"/>
        <w:spacing w:after="0" w:line="240" w:lineRule="auto"/>
        <w:ind w:left="720"/>
        <w:rPr>
          <w:i/>
          <w:iCs/>
        </w:rPr>
      </w:pPr>
    </w:p>
    <w:p w14:paraId="5CBA1EDB" w14:textId="3531A722" w:rsidR="002407AF" w:rsidRDefault="002407AF" w:rsidP="001A1361">
      <w:pPr>
        <w:rPr>
          <w:rFonts w:ascii="Arial" w:hAnsi="Arial" w:cs="Arial"/>
        </w:rPr>
      </w:pPr>
      <w:r>
        <w:rPr>
          <w:rFonts w:ascii="Arial" w:hAnsi="Arial" w:cs="Arial"/>
        </w:rPr>
        <w:t>Members are expected to serve for the duration of the OBMEA.</w:t>
      </w:r>
      <w:r w:rsidR="007814FA">
        <w:rPr>
          <w:rFonts w:ascii="Arial" w:hAnsi="Arial" w:cs="Arial"/>
        </w:rPr>
        <w:t xml:space="preserve"> </w:t>
      </w:r>
    </w:p>
    <w:p w14:paraId="5A8AC5A8" w14:textId="77777777" w:rsidR="002407AF" w:rsidRDefault="002407AF" w:rsidP="001A1361">
      <w:pPr>
        <w:rPr>
          <w:rFonts w:ascii="Arial" w:hAnsi="Arial" w:cs="Arial"/>
        </w:rPr>
      </w:pPr>
    </w:p>
    <w:p w14:paraId="0C839DDC" w14:textId="77777777" w:rsidR="00233B82" w:rsidRDefault="00233B82" w:rsidP="002F5FF0">
      <w:pPr>
        <w:pStyle w:val="Paragraphnonumbers"/>
        <w:spacing w:after="0" w:line="240" w:lineRule="auto"/>
      </w:pPr>
      <w:r>
        <w:t>Q</w:t>
      </w:r>
      <w:r w:rsidRPr="000726D7">
        <w:t>uoracy is reached when the following members are in attendance:</w:t>
      </w:r>
    </w:p>
    <w:p w14:paraId="63519EDB" w14:textId="39029476" w:rsidR="00233B82" w:rsidRPr="00405BBC" w:rsidRDefault="002F5FF0" w:rsidP="00397110">
      <w:pPr>
        <w:pStyle w:val="Paragraphnonumbers"/>
        <w:numPr>
          <w:ilvl w:val="0"/>
          <w:numId w:val="28"/>
        </w:numPr>
        <w:spacing w:after="0" w:line="240" w:lineRule="auto"/>
        <w:rPr>
          <w:color w:val="00B050"/>
        </w:rPr>
      </w:pPr>
      <w:r w:rsidRPr="00405BBC">
        <w:rPr>
          <w:i/>
          <w:iCs/>
          <w:color w:val="00B050"/>
        </w:rPr>
        <w:t>D</w:t>
      </w:r>
      <w:r w:rsidR="00233B82" w:rsidRPr="00405BBC">
        <w:rPr>
          <w:i/>
          <w:iCs/>
          <w:color w:val="00B050"/>
        </w:rPr>
        <w:t xml:space="preserve">efine </w:t>
      </w:r>
      <w:r w:rsidRPr="00405BBC">
        <w:rPr>
          <w:i/>
          <w:iCs/>
          <w:color w:val="00B050"/>
        </w:rPr>
        <w:t xml:space="preserve">essential bodies to be represented and </w:t>
      </w:r>
      <w:r w:rsidR="00405BBC">
        <w:rPr>
          <w:i/>
          <w:iCs/>
          <w:color w:val="00B050"/>
        </w:rPr>
        <w:t xml:space="preserve">minimum </w:t>
      </w:r>
      <w:r w:rsidRPr="00405BBC">
        <w:rPr>
          <w:i/>
          <w:iCs/>
          <w:color w:val="00B050"/>
        </w:rPr>
        <w:t>number</w:t>
      </w:r>
      <w:r w:rsidR="00405BBC">
        <w:rPr>
          <w:i/>
          <w:iCs/>
          <w:color w:val="00B050"/>
        </w:rPr>
        <w:t>/</w:t>
      </w:r>
      <w:r w:rsidRPr="00405BBC">
        <w:rPr>
          <w:i/>
          <w:iCs/>
          <w:color w:val="00B050"/>
        </w:rPr>
        <w:t>percentage</w:t>
      </w:r>
      <w:r w:rsidR="00405BBC">
        <w:rPr>
          <w:i/>
          <w:iCs/>
          <w:color w:val="00B050"/>
        </w:rPr>
        <w:t xml:space="preserve"> of members to be in attendance</w:t>
      </w:r>
      <w:r w:rsidRPr="00405BBC">
        <w:rPr>
          <w:i/>
          <w:iCs/>
          <w:color w:val="00B050"/>
        </w:rPr>
        <w:t>.</w:t>
      </w:r>
    </w:p>
    <w:p w14:paraId="2B1B0A54" w14:textId="77777777" w:rsidR="002F5FF0" w:rsidRDefault="002F5FF0" w:rsidP="002F5FF0">
      <w:pPr>
        <w:pStyle w:val="Paragraphnonumbers"/>
        <w:spacing w:after="0" w:line="240" w:lineRule="auto"/>
        <w:ind w:left="720"/>
      </w:pPr>
    </w:p>
    <w:p w14:paraId="118EC664" w14:textId="2019CEFC" w:rsidR="00405BBC" w:rsidRDefault="00233B82" w:rsidP="00405BBC">
      <w:pPr>
        <w:pStyle w:val="Paragraphnonumbers"/>
        <w:spacing w:after="0" w:line="240" w:lineRule="auto"/>
      </w:pPr>
      <w:r>
        <w:t>I</w:t>
      </w:r>
      <w:r w:rsidRPr="000726D7">
        <w:t xml:space="preserve">f </w:t>
      </w:r>
      <w:r>
        <w:t>a Committee member</w:t>
      </w:r>
      <w:r w:rsidRPr="000726D7">
        <w:t xml:space="preserve"> is unable to attend </w:t>
      </w:r>
      <w:r>
        <w:t>a meeting</w:t>
      </w:r>
      <w:r w:rsidRPr="000726D7">
        <w:t>, they may send their views to the chair</w:t>
      </w:r>
      <w:r>
        <w:t>/co-chair</w:t>
      </w:r>
      <w:r w:rsidRPr="000726D7">
        <w:t xml:space="preserve"> to be considered by the </w:t>
      </w:r>
      <w:r>
        <w:t xml:space="preserve">committee or send a </w:t>
      </w:r>
      <w:r w:rsidR="001A1361">
        <w:t xml:space="preserve">nominated </w:t>
      </w:r>
      <w:r w:rsidR="00A926BE">
        <w:t>deputy</w:t>
      </w:r>
      <w:r w:rsidR="001A1361">
        <w:t>. The deputy must abide by the rules of the committee, including confidentiality agreements</w:t>
      </w:r>
      <w:r>
        <w:t xml:space="preserve">. </w:t>
      </w:r>
    </w:p>
    <w:p w14:paraId="19265066" w14:textId="6DE70B08" w:rsidR="007814FA" w:rsidRDefault="007814FA" w:rsidP="00405BBC">
      <w:pPr>
        <w:pStyle w:val="Paragraphnonumbers"/>
        <w:spacing w:after="0" w:line="240" w:lineRule="auto"/>
      </w:pPr>
    </w:p>
    <w:p w14:paraId="187585FF" w14:textId="77777777" w:rsidR="007814FA" w:rsidRDefault="007814FA" w:rsidP="007814FA">
      <w:pPr>
        <w:rPr>
          <w:rFonts w:ascii="Arial" w:hAnsi="Arial" w:cs="Arial"/>
        </w:rPr>
      </w:pPr>
      <w:r w:rsidRPr="00405BBC">
        <w:rPr>
          <w:rFonts w:ascii="Arial" w:hAnsi="Arial" w:cs="Arial"/>
        </w:rPr>
        <w:t>Decisions will be made via consensus, wherever practicable.</w:t>
      </w:r>
    </w:p>
    <w:p w14:paraId="34EB8A93" w14:textId="34C01678" w:rsidR="0074542B" w:rsidRDefault="0074542B" w:rsidP="00A926BE"/>
    <w:p w14:paraId="482AD60E" w14:textId="77777777" w:rsidR="0074542B" w:rsidRDefault="0074542B" w:rsidP="00A926BE"/>
    <w:p w14:paraId="0D86E935" w14:textId="71616EA2" w:rsidR="004F1C92" w:rsidRDefault="004F1C92" w:rsidP="004F1C92">
      <w:pPr>
        <w:pStyle w:val="Paragraphnonumbers"/>
        <w:spacing w:after="0" w:line="240" w:lineRule="auto"/>
        <w:rPr>
          <w:b/>
        </w:rPr>
      </w:pPr>
      <w:r w:rsidRPr="006E5363">
        <w:rPr>
          <w:b/>
        </w:rPr>
        <w:t>GOVERNANCE</w:t>
      </w:r>
    </w:p>
    <w:p w14:paraId="0BAD429E" w14:textId="77777777" w:rsidR="004F1C92" w:rsidRPr="0042388F" w:rsidRDefault="004F1C92" w:rsidP="004F1C92">
      <w:pPr>
        <w:pStyle w:val="Paragraphnonumbers"/>
        <w:spacing w:after="0" w:line="240" w:lineRule="auto"/>
        <w:rPr>
          <w:b/>
          <w:sz w:val="18"/>
          <w:szCs w:val="18"/>
        </w:rPr>
      </w:pPr>
    </w:p>
    <w:p w14:paraId="36239CC1" w14:textId="678B73A6" w:rsidR="002B5DDE" w:rsidRPr="002B5DDE" w:rsidRDefault="002B5DDE" w:rsidP="004F1C92">
      <w:pPr>
        <w:pStyle w:val="Paragraphnonumbers"/>
        <w:spacing w:after="0" w:line="240" w:lineRule="auto"/>
      </w:pPr>
      <w:r w:rsidRPr="002B5DDE">
        <w:t xml:space="preserve">The </w:t>
      </w:r>
      <w:r>
        <w:rPr>
          <w:color w:val="00B050"/>
        </w:rPr>
        <w:t xml:space="preserve">HTA body/Expert Centre/Registry Holder </w:t>
      </w:r>
      <w:r w:rsidRPr="002B5DDE">
        <w:t>will act as Secretariat to the Committee</w:t>
      </w:r>
      <w:r w:rsidR="001A375B">
        <w:t xml:space="preserve">: </w:t>
      </w:r>
      <w:r w:rsidRPr="002B5DDE">
        <w:t>issuing meeting papers, chairing the meeting, preparing minutes.</w:t>
      </w:r>
    </w:p>
    <w:p w14:paraId="5B647ED5" w14:textId="77777777" w:rsidR="002B5DDE" w:rsidRDefault="002B5DDE" w:rsidP="004F1C92">
      <w:pPr>
        <w:pStyle w:val="Paragraphnonumbers"/>
        <w:spacing w:after="0" w:line="240" w:lineRule="auto"/>
        <w:rPr>
          <w:i/>
          <w:iCs/>
          <w:color w:val="00B050"/>
        </w:rPr>
      </w:pPr>
    </w:p>
    <w:p w14:paraId="10E15FE6" w14:textId="0F4168F7" w:rsidR="004F1C92" w:rsidRDefault="004F1C92" w:rsidP="004F1C92">
      <w:pPr>
        <w:pStyle w:val="Paragraphnonumbers"/>
        <w:spacing w:after="0" w:line="240" w:lineRule="auto"/>
        <w:rPr>
          <w:i/>
          <w:iCs/>
          <w:color w:val="00B050"/>
        </w:rPr>
      </w:pPr>
      <w:r>
        <w:rPr>
          <w:i/>
          <w:iCs/>
          <w:color w:val="00B050"/>
        </w:rPr>
        <w:t>Describe governance measures such as:</w:t>
      </w:r>
    </w:p>
    <w:p w14:paraId="6A2CFE64" w14:textId="77777777" w:rsidR="00F36BF5" w:rsidRDefault="00F36BF5" w:rsidP="004F1C92">
      <w:pPr>
        <w:pStyle w:val="Paragraphnonumbers"/>
        <w:spacing w:after="0" w:line="240" w:lineRule="auto"/>
        <w:rPr>
          <w:i/>
          <w:iCs/>
          <w:color w:val="00B050"/>
        </w:rPr>
      </w:pPr>
    </w:p>
    <w:p w14:paraId="0069FD6D" w14:textId="77777777" w:rsidR="004F1C92" w:rsidRDefault="004F1C92" w:rsidP="004F1C92">
      <w:pPr>
        <w:pStyle w:val="Paragraphnonumbers"/>
        <w:numPr>
          <w:ilvl w:val="0"/>
          <w:numId w:val="45"/>
        </w:numPr>
        <w:spacing w:after="0" w:line="240" w:lineRule="auto"/>
      </w:pPr>
      <w:r>
        <w:t xml:space="preserve">All members of the Committee will be required to complete a </w:t>
      </w:r>
      <w:r w:rsidRPr="00E7696F">
        <w:rPr>
          <w:color w:val="FF0000"/>
        </w:rPr>
        <w:t>Confidentiality Agreement form</w:t>
      </w:r>
      <w:r>
        <w:t xml:space="preserve"> and </w:t>
      </w:r>
      <w:r w:rsidRPr="00E7696F">
        <w:rPr>
          <w:color w:val="FF0000"/>
        </w:rPr>
        <w:t xml:space="preserve">Declaration of Interests form </w:t>
      </w:r>
      <w:r>
        <w:t xml:space="preserve">before attending any meetings involving discussion of the OBMEA. </w:t>
      </w:r>
    </w:p>
    <w:p w14:paraId="7D2BFF8F" w14:textId="71C5F062" w:rsidR="004F1C92" w:rsidRDefault="004F1C92" w:rsidP="004F1C92">
      <w:pPr>
        <w:pStyle w:val="Paragraphnonumbers"/>
        <w:numPr>
          <w:ilvl w:val="0"/>
          <w:numId w:val="45"/>
        </w:numPr>
        <w:spacing w:after="0" w:line="240" w:lineRule="auto"/>
      </w:pPr>
      <w:r w:rsidRPr="004D27F0">
        <w:rPr>
          <w:lang w:val="en-US"/>
        </w:rPr>
        <w:t xml:space="preserve">The data reports and information disclosed </w:t>
      </w:r>
      <w:r>
        <w:rPr>
          <w:lang w:val="en-US"/>
        </w:rPr>
        <w:t>during</w:t>
      </w:r>
      <w:r w:rsidRPr="004D27F0">
        <w:rPr>
          <w:lang w:val="en-US"/>
        </w:rPr>
        <w:t xml:space="preserve"> </w:t>
      </w:r>
      <w:r>
        <w:rPr>
          <w:lang w:val="en-US"/>
        </w:rPr>
        <w:t xml:space="preserve">the Committee </w:t>
      </w:r>
      <w:r w:rsidRPr="004D27F0">
        <w:rPr>
          <w:lang w:val="en-US"/>
        </w:rPr>
        <w:t xml:space="preserve">meetings </w:t>
      </w:r>
      <w:r w:rsidR="001A1361">
        <w:rPr>
          <w:lang w:val="en-US"/>
        </w:rPr>
        <w:t>are</w:t>
      </w:r>
      <w:r>
        <w:rPr>
          <w:lang w:val="en-US"/>
        </w:rPr>
        <w:t xml:space="preserve"> strictly </w:t>
      </w:r>
      <w:r w:rsidRPr="004D27F0">
        <w:rPr>
          <w:lang w:val="en-US"/>
        </w:rPr>
        <w:t xml:space="preserve">confidential </w:t>
      </w:r>
      <w:r w:rsidR="001A1361">
        <w:rPr>
          <w:lang w:val="en-US"/>
        </w:rPr>
        <w:t xml:space="preserve">and </w:t>
      </w:r>
      <w:r>
        <w:rPr>
          <w:lang w:val="en-US"/>
        </w:rPr>
        <w:t>must</w:t>
      </w:r>
      <w:r w:rsidRPr="004D27F0">
        <w:rPr>
          <w:lang w:val="en-US"/>
        </w:rPr>
        <w:t xml:space="preserve"> not be shared or discussed with </w:t>
      </w:r>
      <w:r>
        <w:rPr>
          <w:lang w:val="en-US"/>
        </w:rPr>
        <w:t xml:space="preserve">anyone outside of the </w:t>
      </w:r>
      <w:r w:rsidRPr="00D17CA1">
        <w:rPr>
          <w:lang w:val="en-US"/>
        </w:rPr>
        <w:t>Committee</w:t>
      </w:r>
      <w:r w:rsidRPr="004D27F0">
        <w:rPr>
          <w:lang w:val="en-US"/>
        </w:rPr>
        <w:t>.</w:t>
      </w:r>
    </w:p>
    <w:p w14:paraId="1BF7FD4D" w14:textId="62818CC6" w:rsidR="004F1C92" w:rsidRPr="00233B82" w:rsidRDefault="004F1C92" w:rsidP="004F1C92">
      <w:pPr>
        <w:pStyle w:val="Paragraphnonumbers"/>
        <w:numPr>
          <w:ilvl w:val="0"/>
          <w:numId w:val="45"/>
        </w:numPr>
        <w:spacing w:after="0" w:line="240" w:lineRule="auto"/>
        <w:rPr>
          <w:i/>
          <w:iCs/>
        </w:rPr>
      </w:pPr>
      <w:r w:rsidRPr="006E5363">
        <w:t>A</w:t>
      </w:r>
      <w:r>
        <w:t xml:space="preserve">ny confidential </w:t>
      </w:r>
      <w:r w:rsidRPr="006E5363">
        <w:t xml:space="preserve">information will only be shared with the Committee via </w:t>
      </w:r>
      <w:r w:rsidRPr="004F1C92">
        <w:rPr>
          <w:i/>
          <w:iCs/>
          <w:color w:val="FF0000"/>
        </w:rPr>
        <w:t>&lt;describe secure system&gt;</w:t>
      </w:r>
      <w:r w:rsidRPr="00233B82">
        <w:rPr>
          <w:i/>
          <w:iCs/>
        </w:rPr>
        <w:t>.</w:t>
      </w:r>
    </w:p>
    <w:p w14:paraId="13BD2780" w14:textId="77777777" w:rsidR="004F1C92" w:rsidRDefault="004F1C92" w:rsidP="004F1C92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C5D7F">
        <w:rPr>
          <w:rFonts w:ascii="Arial" w:eastAsia="Times New Roman" w:hAnsi="Arial" w:cs="Times New Roman"/>
          <w:sz w:val="24"/>
          <w:szCs w:val="24"/>
          <w:lang w:eastAsia="en-GB"/>
        </w:rPr>
        <w:t xml:space="preserve">Any issues relating to the conduct of the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Committee</w:t>
      </w:r>
      <w:r w:rsidRPr="00EC5D7F">
        <w:rPr>
          <w:rFonts w:ascii="Arial" w:eastAsia="Times New Roman" w:hAnsi="Arial" w:cs="Times New Roman"/>
          <w:sz w:val="24"/>
          <w:szCs w:val="24"/>
          <w:lang w:eastAsia="en-GB"/>
        </w:rPr>
        <w:t xml:space="preserve"> meetings will be escalated to the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OBMEA signatories</w:t>
      </w:r>
      <w:r w:rsidRPr="00EC5D7F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14:paraId="0978300A" w14:textId="239AF181" w:rsidR="0074542B" w:rsidRDefault="004F1C92" w:rsidP="0074542B">
      <w:pPr>
        <w:pStyle w:val="Paragraphnonumbers"/>
        <w:numPr>
          <w:ilvl w:val="0"/>
          <w:numId w:val="45"/>
        </w:numPr>
        <w:spacing w:after="0" w:line="240" w:lineRule="auto"/>
      </w:pPr>
      <w:r>
        <w:t xml:space="preserve">Any breach of the confidentiality agreement could result in the member(s) concerned and their organisation being removed from the Committee. </w:t>
      </w:r>
    </w:p>
    <w:p w14:paraId="0A2F9BF0" w14:textId="77777777" w:rsidR="0074542B" w:rsidRPr="0074542B" w:rsidRDefault="0074542B" w:rsidP="0074542B">
      <w:pPr>
        <w:pStyle w:val="Paragraphnonumbers"/>
        <w:spacing w:after="0" w:line="240" w:lineRule="auto"/>
        <w:ind w:left="720"/>
      </w:pPr>
    </w:p>
    <w:p w14:paraId="7FB756BA" w14:textId="77777777" w:rsidR="0074542B" w:rsidRDefault="0074542B">
      <w:pPr>
        <w:rPr>
          <w:rFonts w:ascii="Arial" w:hAnsi="Arial"/>
          <w:b/>
          <w:bCs/>
          <w:kern w:val="32"/>
          <w:szCs w:val="32"/>
        </w:rPr>
      </w:pPr>
      <w:r>
        <w:br w:type="page"/>
      </w:r>
    </w:p>
    <w:p w14:paraId="14B2BB35" w14:textId="5F7DFF48" w:rsidR="007B58C0" w:rsidRDefault="003F63FC" w:rsidP="00A926BE">
      <w:pPr>
        <w:pStyle w:val="Heading1"/>
        <w:spacing w:after="0"/>
        <w:rPr>
          <w:sz w:val="24"/>
        </w:rPr>
      </w:pPr>
      <w:r>
        <w:rPr>
          <w:sz w:val="24"/>
        </w:rPr>
        <w:lastRenderedPageBreak/>
        <w:t>RESPONSIBILITIES</w:t>
      </w:r>
      <w:r w:rsidRPr="00382962">
        <w:rPr>
          <w:sz w:val="24"/>
        </w:rPr>
        <w:t xml:space="preserve"> </w:t>
      </w:r>
      <w:r w:rsidR="007B58C0">
        <w:rPr>
          <w:sz w:val="24"/>
        </w:rPr>
        <w:t>OF COMMITTEE MEMBERS</w:t>
      </w:r>
    </w:p>
    <w:p w14:paraId="66218966" w14:textId="5DD3F7ED" w:rsidR="00A926BE" w:rsidRPr="0042388F" w:rsidRDefault="00A926BE" w:rsidP="00487038">
      <w:pPr>
        <w:pStyle w:val="Paragraphnonumbers"/>
        <w:spacing w:after="0" w:line="240" w:lineRule="auto"/>
        <w:rPr>
          <w:sz w:val="18"/>
          <w:szCs w:val="18"/>
        </w:rPr>
      </w:pPr>
    </w:p>
    <w:p w14:paraId="27DB16EA" w14:textId="5B2832DE" w:rsidR="00487038" w:rsidRDefault="00487038" w:rsidP="00487038">
      <w:pPr>
        <w:pStyle w:val="Paragraphnonumbers"/>
        <w:spacing w:after="0" w:line="240" w:lineRule="auto"/>
        <w:rPr>
          <w:i/>
          <w:iCs/>
          <w:color w:val="00B050"/>
        </w:rPr>
      </w:pPr>
      <w:r>
        <w:rPr>
          <w:i/>
          <w:iCs/>
          <w:color w:val="00B050"/>
        </w:rPr>
        <w:t>Describe responsibilities of individual members, such as:</w:t>
      </w:r>
    </w:p>
    <w:p w14:paraId="3034681C" w14:textId="77777777" w:rsidR="00F36BF5" w:rsidRDefault="00F36BF5" w:rsidP="00487038">
      <w:pPr>
        <w:pStyle w:val="Paragraphnonumbers"/>
        <w:spacing w:after="0" w:line="240" w:lineRule="auto"/>
        <w:rPr>
          <w:i/>
          <w:iCs/>
          <w:color w:val="00B050"/>
        </w:rPr>
      </w:pPr>
    </w:p>
    <w:p w14:paraId="756A08A6" w14:textId="6EC2B856" w:rsidR="002F1274" w:rsidRDefault="00405BBC" w:rsidP="00405BBC">
      <w:pPr>
        <w:pStyle w:val="Paragraphnonumbers"/>
        <w:numPr>
          <w:ilvl w:val="0"/>
          <w:numId w:val="44"/>
        </w:numPr>
        <w:spacing w:after="0" w:line="240" w:lineRule="auto"/>
      </w:pPr>
      <w:r>
        <w:t>A</w:t>
      </w:r>
      <w:r w:rsidR="002F1274">
        <w:t xml:space="preserve">ttend </w:t>
      </w:r>
      <w:r w:rsidR="00026875">
        <w:t>Committee</w:t>
      </w:r>
      <w:r w:rsidR="003465A7">
        <w:t xml:space="preserve"> meetings </w:t>
      </w:r>
      <w:r w:rsidR="006C50A9">
        <w:t xml:space="preserve">(every </w:t>
      </w:r>
      <w:r w:rsidR="002521CA">
        <w:rPr>
          <w:color w:val="00B050"/>
        </w:rPr>
        <w:t>3</w:t>
      </w:r>
      <w:r w:rsidR="006C50A9">
        <w:t xml:space="preserve"> months)</w:t>
      </w:r>
      <w:r w:rsidR="003465A7">
        <w:t>.</w:t>
      </w:r>
    </w:p>
    <w:p w14:paraId="25EB5103" w14:textId="6E41D9DB" w:rsidR="00487038" w:rsidRDefault="00487038" w:rsidP="005A50AF">
      <w:pPr>
        <w:pStyle w:val="Paragraphnonumbers"/>
        <w:numPr>
          <w:ilvl w:val="0"/>
          <w:numId w:val="44"/>
        </w:numPr>
        <w:spacing w:after="0" w:line="240" w:lineRule="auto"/>
      </w:pPr>
      <w:r>
        <w:t>R</w:t>
      </w:r>
      <w:r w:rsidR="006C50A9">
        <w:t xml:space="preserve">espect the </w:t>
      </w:r>
      <w:r>
        <w:t xml:space="preserve">challenges faced by </w:t>
      </w:r>
      <w:r w:rsidR="00E7696F">
        <w:t>other members of the committee</w:t>
      </w:r>
      <w:r>
        <w:t xml:space="preserve"> (particularly clinicians and patients) that may arise in the implementation of the OBMEA and treat all members with sensitivity</w:t>
      </w:r>
      <w:r w:rsidR="002521CA">
        <w:t xml:space="preserve"> (respectful discourse)</w:t>
      </w:r>
      <w:r>
        <w:t>.</w:t>
      </w:r>
    </w:p>
    <w:p w14:paraId="4F56A973" w14:textId="77777777" w:rsidR="005B42B9" w:rsidRDefault="005B42B9" w:rsidP="005A50AF">
      <w:pPr>
        <w:pStyle w:val="Paragraphnonumbers"/>
        <w:numPr>
          <w:ilvl w:val="0"/>
          <w:numId w:val="44"/>
        </w:numPr>
        <w:spacing w:after="0" w:line="240" w:lineRule="auto"/>
      </w:pPr>
      <w:r>
        <w:t xml:space="preserve">Ensure the </w:t>
      </w:r>
      <w:r w:rsidR="00487038">
        <w:t>confidential</w:t>
      </w:r>
      <w:r>
        <w:t>ity of all materials and discussions.</w:t>
      </w:r>
    </w:p>
    <w:p w14:paraId="7FDAD145" w14:textId="48B2C757" w:rsidR="00382962" w:rsidRDefault="005B42B9" w:rsidP="00405BBC">
      <w:pPr>
        <w:pStyle w:val="Paragraphnonumbers"/>
        <w:numPr>
          <w:ilvl w:val="0"/>
          <w:numId w:val="44"/>
        </w:numPr>
        <w:spacing w:after="0" w:line="240" w:lineRule="auto"/>
      </w:pPr>
      <w:r>
        <w:t>P</w:t>
      </w:r>
      <w:r w:rsidR="002F1274">
        <w:t xml:space="preserve">rovide </w:t>
      </w:r>
      <w:r w:rsidR="003465A7">
        <w:t>advice</w:t>
      </w:r>
      <w:r w:rsidR="009D1D63">
        <w:t xml:space="preserve">, guidance and </w:t>
      </w:r>
      <w:r w:rsidR="006C50A9">
        <w:t xml:space="preserve">agree </w:t>
      </w:r>
      <w:r w:rsidR="009D1D63">
        <w:t xml:space="preserve">action points to support the </w:t>
      </w:r>
      <w:r w:rsidR="00405BBC">
        <w:t>OB</w:t>
      </w:r>
      <w:r w:rsidR="00AA77C9">
        <w:t>MEA</w:t>
      </w:r>
      <w:r w:rsidR="009D1D63">
        <w:t xml:space="preserve"> implementation</w:t>
      </w:r>
      <w:r w:rsidR="002F1274">
        <w:t>.</w:t>
      </w:r>
    </w:p>
    <w:p w14:paraId="5AF106DC" w14:textId="734E7A1D" w:rsidR="00F04AA5" w:rsidRDefault="005B42B9" w:rsidP="00405BBC">
      <w:pPr>
        <w:pStyle w:val="Paragraphnonumbers"/>
        <w:numPr>
          <w:ilvl w:val="0"/>
          <w:numId w:val="44"/>
        </w:numPr>
        <w:spacing w:after="0" w:line="240" w:lineRule="auto"/>
      </w:pPr>
      <w:r>
        <w:t xml:space="preserve">Identify the need for, and approve, </w:t>
      </w:r>
      <w:r w:rsidR="00B23FC2">
        <w:t xml:space="preserve">communications from </w:t>
      </w:r>
      <w:r>
        <w:t xml:space="preserve">the </w:t>
      </w:r>
      <w:r w:rsidR="00026875">
        <w:t>Committee</w:t>
      </w:r>
      <w:r w:rsidR="00F04AA5">
        <w:t>.</w:t>
      </w:r>
    </w:p>
    <w:p w14:paraId="7A0E7F65" w14:textId="338A3FAD" w:rsidR="00233B82" w:rsidRPr="00552FE6" w:rsidRDefault="003465A7" w:rsidP="0080780B">
      <w:pPr>
        <w:pStyle w:val="Paragraphnonumbers"/>
        <w:numPr>
          <w:ilvl w:val="0"/>
          <w:numId w:val="44"/>
        </w:numPr>
        <w:spacing w:after="0" w:line="240" w:lineRule="auto"/>
      </w:pPr>
      <w:r>
        <w:t xml:space="preserve">Review any </w:t>
      </w:r>
      <w:r w:rsidR="006C50A9">
        <w:t xml:space="preserve">proposed </w:t>
      </w:r>
      <w:r>
        <w:t>amendments to the</w:t>
      </w:r>
      <w:r w:rsidR="00E7696F">
        <w:t xml:space="preserve"> OBMEA</w:t>
      </w:r>
      <w:r w:rsidR="00602001">
        <w:t xml:space="preserve">. </w:t>
      </w:r>
    </w:p>
    <w:sectPr w:rsidR="00233B82" w:rsidRPr="00552FE6" w:rsidSect="00B16E88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6A1D" w14:textId="77777777" w:rsidR="009D4049" w:rsidRDefault="009D4049" w:rsidP="00446BEE">
      <w:r>
        <w:separator/>
      </w:r>
    </w:p>
  </w:endnote>
  <w:endnote w:type="continuationSeparator" w:id="0">
    <w:p w14:paraId="35C6B89F" w14:textId="77777777" w:rsidR="009D4049" w:rsidRDefault="009D404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 Frutiger* 55 Roman   05103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A1E7" w14:textId="5FC80713" w:rsidR="00446BEE" w:rsidRDefault="002F5FF0">
    <w:pPr>
      <w:pStyle w:val="Footer"/>
    </w:pPr>
    <w:r>
      <w:t xml:space="preserve">OBMEA Monitoring </w:t>
    </w:r>
    <w:r w:rsidR="00026875">
      <w:t>Committee</w:t>
    </w:r>
    <w:r w:rsidR="00327B62">
      <w:t xml:space="preserve"> ToR</w:t>
    </w:r>
    <w:r w:rsidR="00CE6085">
      <w:t xml:space="preserve"> </w:t>
    </w:r>
    <w:r w:rsidR="00CE6085" w:rsidRPr="00CE6085">
      <w:rPr>
        <w:color w:val="FF0000"/>
      </w:rPr>
      <w:t xml:space="preserve">for RDT </w:t>
    </w:r>
    <w:r w:rsidR="00CE6085">
      <w:rPr>
        <w:color w:val="FF0000"/>
      </w:rPr>
      <w:t xml:space="preserve">         version/date                                                           </w:t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657923">
      <w:rPr>
        <w:noProof/>
      </w:rPr>
      <w:t>5</w:t>
    </w:r>
    <w:r w:rsidR="00446BE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46C2" w14:textId="30DD34EB" w:rsidR="00B16E88" w:rsidRDefault="00B16E88">
    <w:pPr>
      <w:pStyle w:val="Footer"/>
    </w:pPr>
    <w:r w:rsidRPr="00B16E88">
      <w:rPr>
        <w:noProof/>
        <w:highlight w:val="cya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B565E" wp14:editId="19279AC2">
              <wp:simplePos x="0" y="0"/>
              <wp:positionH relativeFrom="column">
                <wp:posOffset>267335</wp:posOffset>
              </wp:positionH>
              <wp:positionV relativeFrom="paragraph">
                <wp:posOffset>-369570</wp:posOffset>
              </wp:positionV>
              <wp:extent cx="5463540" cy="800100"/>
              <wp:effectExtent l="0" t="0" r="0" b="0"/>
              <wp:wrapNone/>
              <wp:docPr id="3" name="Content Placehol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354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87A46" w14:textId="77777777" w:rsidR="00B16E88" w:rsidRDefault="00B16E88" w:rsidP="00B16E88">
                          <w:pPr>
                            <w:ind w:left="170" w:right="-336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37C6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The IMPACT HTA project has received funding from the European Union’s Horizon 2020 research and innovation programme under grant agreement No 779312. </w:t>
                          </w:r>
                        </w:p>
                        <w:p w14:paraId="2776B5A4" w14:textId="3143D96A" w:rsidR="00B16E88" w:rsidRPr="00637C65" w:rsidRDefault="00B16E88" w:rsidP="00B16E88">
                          <w:pPr>
                            <w:ind w:left="170" w:right="-33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37C6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The results presented reflect the author’s views and not those of the European Commission.</w:t>
                          </w:r>
                        </w:p>
                        <w:p w14:paraId="10231AB7" w14:textId="77777777" w:rsidR="00B16E88" w:rsidRPr="003C281F" w:rsidRDefault="00B16E88" w:rsidP="00B16E88">
                          <w:pPr>
                            <w:rPr>
                              <w:rFonts w:ascii="Arial" w:hAnsi="Arial" w:cs="Arial"/>
                              <w:kern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B565E" id="_x0000_t202" coordsize="21600,21600" o:spt="202" path="m,l,21600r21600,l21600,xe">
              <v:stroke joinstyle="miter"/>
              <v:path gradientshapeok="t" o:connecttype="rect"/>
            </v:shapetype>
            <v:shape id="Content Placeholder 3" o:spid="_x0000_s1027" type="#_x0000_t202" style="position:absolute;margin-left:21.05pt;margin-top:-29.1pt;width:430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" filled="f" stroked="f">
              <v:textbox>
                <w:txbxContent>
                  <w:p w14:paraId="12F87A46" w14:textId="77777777" w:rsidR="00B16E88" w:rsidRDefault="00B16E88" w:rsidP="00B16E88">
                    <w:pPr>
                      <w:ind w:left="170" w:right="-336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37C6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The IMPACT HTA project has received funding from the European Union’s Horizon 2020 research and innovation programme under grant agreement No 779312. </w:t>
                    </w:r>
                  </w:p>
                  <w:p w14:paraId="2776B5A4" w14:textId="3143D96A" w:rsidR="00B16E88" w:rsidRPr="00637C65" w:rsidRDefault="00B16E88" w:rsidP="00B16E88">
                    <w:pPr>
                      <w:ind w:left="170" w:right="-33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37C6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The results presented reflect the author’s views and not those of the European Commission.</w:t>
                    </w:r>
                  </w:p>
                  <w:p w14:paraId="10231AB7" w14:textId="77777777" w:rsidR="00B16E88" w:rsidRPr="003C281F" w:rsidRDefault="00B16E88" w:rsidP="00B16E88">
                    <w:pPr>
                      <w:rPr>
                        <w:rFonts w:ascii="Arial" w:hAnsi="Arial" w:cs="Arial"/>
                        <w:kern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B16E88">
      <w:rPr>
        <w:noProof/>
      </w:rPr>
      <w:drawing>
        <wp:anchor distT="0" distB="0" distL="114300" distR="114300" simplePos="0" relativeHeight="251660288" behindDoc="1" locked="0" layoutInCell="1" allowOverlap="1" wp14:anchorId="7AAFC5AB" wp14:editId="147C622E">
          <wp:simplePos x="0" y="0"/>
          <wp:positionH relativeFrom="column">
            <wp:posOffset>-144780</wp:posOffset>
          </wp:positionH>
          <wp:positionV relativeFrom="paragraph">
            <wp:posOffset>-237170</wp:posOffset>
          </wp:positionV>
          <wp:extent cx="515440" cy="361950"/>
          <wp:effectExtent l="0" t="0" r="0" b="0"/>
          <wp:wrapNone/>
          <wp:docPr id="4" name="Picture 12" descr="A picture containing flow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F445322-728E-45CE-9F04-D6523022D2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A picture containing flower&#10;&#10;Description automatically generated">
                    <a:extLst>
                      <a:ext uri="{FF2B5EF4-FFF2-40B4-BE49-F238E27FC236}">
                        <a16:creationId xmlns:a16="http://schemas.microsoft.com/office/drawing/2014/main" id="{1F445322-728E-45CE-9F04-D6523022D2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56E34" w14:textId="77777777" w:rsidR="009D4049" w:rsidRDefault="009D4049" w:rsidP="00446BEE">
      <w:r>
        <w:separator/>
      </w:r>
    </w:p>
  </w:footnote>
  <w:footnote w:type="continuationSeparator" w:id="0">
    <w:p w14:paraId="4147DC6B" w14:textId="77777777" w:rsidR="009D4049" w:rsidRDefault="009D404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12D1"/>
    <w:multiLevelType w:val="hybridMultilevel"/>
    <w:tmpl w:val="2494AE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47CFB"/>
    <w:multiLevelType w:val="hybridMultilevel"/>
    <w:tmpl w:val="0CE4F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823D41"/>
    <w:multiLevelType w:val="hybridMultilevel"/>
    <w:tmpl w:val="20220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139CE"/>
    <w:multiLevelType w:val="hybridMultilevel"/>
    <w:tmpl w:val="5860C146"/>
    <w:lvl w:ilvl="0" w:tplc="5180E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8F67BA"/>
    <w:multiLevelType w:val="hybridMultilevel"/>
    <w:tmpl w:val="1368E36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CD417DE"/>
    <w:multiLevelType w:val="hybridMultilevel"/>
    <w:tmpl w:val="B872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72557"/>
    <w:multiLevelType w:val="hybridMultilevel"/>
    <w:tmpl w:val="57026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87A46"/>
    <w:multiLevelType w:val="hybridMultilevel"/>
    <w:tmpl w:val="3986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862F7"/>
    <w:multiLevelType w:val="hybridMultilevel"/>
    <w:tmpl w:val="F0E0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5A52"/>
    <w:multiLevelType w:val="hybridMultilevel"/>
    <w:tmpl w:val="68088A48"/>
    <w:lvl w:ilvl="0" w:tplc="37DA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791B"/>
    <w:multiLevelType w:val="hybridMultilevel"/>
    <w:tmpl w:val="890CF474"/>
    <w:lvl w:ilvl="0" w:tplc="5226E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7BF"/>
    <w:multiLevelType w:val="hybridMultilevel"/>
    <w:tmpl w:val="BC827D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8A27B3"/>
    <w:multiLevelType w:val="hybridMultilevel"/>
    <w:tmpl w:val="85D23A4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B77A8"/>
    <w:multiLevelType w:val="hybridMultilevel"/>
    <w:tmpl w:val="54164C02"/>
    <w:lvl w:ilvl="0" w:tplc="2FC61B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36B78"/>
    <w:multiLevelType w:val="hybridMultilevel"/>
    <w:tmpl w:val="29644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B7CBF"/>
    <w:multiLevelType w:val="hybridMultilevel"/>
    <w:tmpl w:val="0F7C76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82B0D"/>
    <w:multiLevelType w:val="hybridMultilevel"/>
    <w:tmpl w:val="62549954"/>
    <w:lvl w:ilvl="0" w:tplc="37DA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72032"/>
    <w:multiLevelType w:val="hybridMultilevel"/>
    <w:tmpl w:val="A424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3F7F"/>
    <w:multiLevelType w:val="hybridMultilevel"/>
    <w:tmpl w:val="4618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66B2E"/>
    <w:multiLevelType w:val="hybridMultilevel"/>
    <w:tmpl w:val="389C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E63E5"/>
    <w:multiLevelType w:val="hybridMultilevel"/>
    <w:tmpl w:val="A8148D24"/>
    <w:lvl w:ilvl="0" w:tplc="37DA0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024C2"/>
    <w:multiLevelType w:val="hybridMultilevel"/>
    <w:tmpl w:val="D3842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46969"/>
    <w:multiLevelType w:val="hybridMultilevel"/>
    <w:tmpl w:val="56D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534FE"/>
    <w:multiLevelType w:val="hybridMultilevel"/>
    <w:tmpl w:val="7C424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B79A0"/>
    <w:multiLevelType w:val="hybridMultilevel"/>
    <w:tmpl w:val="8152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1"/>
  </w:num>
  <w:num w:numId="21">
    <w:abstractNumId w:val="14"/>
  </w:num>
  <w:num w:numId="22">
    <w:abstractNumId w:val="29"/>
  </w:num>
  <w:num w:numId="23">
    <w:abstractNumId w:val="20"/>
  </w:num>
  <w:num w:numId="24">
    <w:abstractNumId w:val="18"/>
  </w:num>
  <w:num w:numId="25">
    <w:abstractNumId w:val="33"/>
  </w:num>
  <w:num w:numId="26">
    <w:abstractNumId w:val="23"/>
  </w:num>
  <w:num w:numId="27">
    <w:abstractNumId w:val="15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19"/>
  </w:num>
  <w:num w:numId="33">
    <w:abstractNumId w:val="22"/>
  </w:num>
  <w:num w:numId="34">
    <w:abstractNumId w:val="31"/>
  </w:num>
  <w:num w:numId="35">
    <w:abstractNumId w:val="34"/>
  </w:num>
  <w:num w:numId="36">
    <w:abstractNumId w:val="25"/>
  </w:num>
  <w:num w:numId="37">
    <w:abstractNumId w:val="12"/>
  </w:num>
  <w:num w:numId="38">
    <w:abstractNumId w:val="13"/>
  </w:num>
  <w:num w:numId="39">
    <w:abstractNumId w:val="26"/>
  </w:num>
  <w:num w:numId="40">
    <w:abstractNumId w:val="10"/>
  </w:num>
  <w:num w:numId="41">
    <w:abstractNumId w:val="21"/>
  </w:num>
  <w:num w:numId="42">
    <w:abstractNumId w:val="24"/>
  </w:num>
  <w:num w:numId="43">
    <w:abstractNumId w:val="30"/>
  </w:num>
  <w:num w:numId="44">
    <w:abstractNumId w:val="3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B4"/>
    <w:rsid w:val="000053F8"/>
    <w:rsid w:val="00013F12"/>
    <w:rsid w:val="00013F49"/>
    <w:rsid w:val="00024D0A"/>
    <w:rsid w:val="00026875"/>
    <w:rsid w:val="000472DC"/>
    <w:rsid w:val="00061C72"/>
    <w:rsid w:val="00070065"/>
    <w:rsid w:val="000726D7"/>
    <w:rsid w:val="000752B9"/>
    <w:rsid w:val="000A4FEE"/>
    <w:rsid w:val="000B5939"/>
    <w:rsid w:val="000B67F8"/>
    <w:rsid w:val="000C3AB4"/>
    <w:rsid w:val="000D5E16"/>
    <w:rsid w:val="000E1DCD"/>
    <w:rsid w:val="000E6016"/>
    <w:rsid w:val="000E7CFF"/>
    <w:rsid w:val="000F585D"/>
    <w:rsid w:val="00105A57"/>
    <w:rsid w:val="00111CCE"/>
    <w:rsid w:val="001134E7"/>
    <w:rsid w:val="001227FE"/>
    <w:rsid w:val="00170560"/>
    <w:rsid w:val="0017149E"/>
    <w:rsid w:val="0017169E"/>
    <w:rsid w:val="0017262F"/>
    <w:rsid w:val="001726B4"/>
    <w:rsid w:val="00181A4A"/>
    <w:rsid w:val="00183394"/>
    <w:rsid w:val="001869FE"/>
    <w:rsid w:val="001A1361"/>
    <w:rsid w:val="001A375B"/>
    <w:rsid w:val="001B0EE9"/>
    <w:rsid w:val="001B1B9F"/>
    <w:rsid w:val="001B65B3"/>
    <w:rsid w:val="001C04D2"/>
    <w:rsid w:val="001D5676"/>
    <w:rsid w:val="001D56CE"/>
    <w:rsid w:val="001E4C96"/>
    <w:rsid w:val="002029A6"/>
    <w:rsid w:val="00204DE2"/>
    <w:rsid w:val="00211BEE"/>
    <w:rsid w:val="0022508A"/>
    <w:rsid w:val="00233B82"/>
    <w:rsid w:val="002407AF"/>
    <w:rsid w:val="002408EA"/>
    <w:rsid w:val="0024445E"/>
    <w:rsid w:val="0024690F"/>
    <w:rsid w:val="002521CA"/>
    <w:rsid w:val="002578FF"/>
    <w:rsid w:val="00262989"/>
    <w:rsid w:val="00264FE9"/>
    <w:rsid w:val="002819D7"/>
    <w:rsid w:val="002A071B"/>
    <w:rsid w:val="002A6562"/>
    <w:rsid w:val="002B5DDE"/>
    <w:rsid w:val="002C1A7E"/>
    <w:rsid w:val="002D3376"/>
    <w:rsid w:val="002D33A1"/>
    <w:rsid w:val="002E6EE4"/>
    <w:rsid w:val="002F1274"/>
    <w:rsid w:val="002F5FF0"/>
    <w:rsid w:val="00311ED0"/>
    <w:rsid w:val="00312604"/>
    <w:rsid w:val="00313890"/>
    <w:rsid w:val="003278AC"/>
    <w:rsid w:val="00327B62"/>
    <w:rsid w:val="0033658A"/>
    <w:rsid w:val="003465A7"/>
    <w:rsid w:val="003576EF"/>
    <w:rsid w:val="003648C5"/>
    <w:rsid w:val="003722FA"/>
    <w:rsid w:val="00382962"/>
    <w:rsid w:val="003A3A0E"/>
    <w:rsid w:val="003C6C5E"/>
    <w:rsid w:val="003C7AAF"/>
    <w:rsid w:val="003F63FC"/>
    <w:rsid w:val="00405BBC"/>
    <w:rsid w:val="004075B6"/>
    <w:rsid w:val="00416943"/>
    <w:rsid w:val="00420952"/>
    <w:rsid w:val="0042388F"/>
    <w:rsid w:val="00433EFF"/>
    <w:rsid w:val="00434D17"/>
    <w:rsid w:val="00443081"/>
    <w:rsid w:val="00446BEE"/>
    <w:rsid w:val="0045793C"/>
    <w:rsid w:val="0046596E"/>
    <w:rsid w:val="00487038"/>
    <w:rsid w:val="004936F2"/>
    <w:rsid w:val="004A6F88"/>
    <w:rsid w:val="004B3BB1"/>
    <w:rsid w:val="004C5F68"/>
    <w:rsid w:val="004D27F0"/>
    <w:rsid w:val="004D2CE1"/>
    <w:rsid w:val="004E5E45"/>
    <w:rsid w:val="004F0CD1"/>
    <w:rsid w:val="004F1C92"/>
    <w:rsid w:val="005025A1"/>
    <w:rsid w:val="005102C0"/>
    <w:rsid w:val="00522C57"/>
    <w:rsid w:val="00543A1E"/>
    <w:rsid w:val="0054606D"/>
    <w:rsid w:val="00552FE6"/>
    <w:rsid w:val="005B42B9"/>
    <w:rsid w:val="005E0BDF"/>
    <w:rsid w:val="005E5B03"/>
    <w:rsid w:val="00602001"/>
    <w:rsid w:val="00612B08"/>
    <w:rsid w:val="006239CC"/>
    <w:rsid w:val="00630443"/>
    <w:rsid w:val="0063148D"/>
    <w:rsid w:val="00657923"/>
    <w:rsid w:val="006612AA"/>
    <w:rsid w:val="0066224C"/>
    <w:rsid w:val="00666300"/>
    <w:rsid w:val="00685FBC"/>
    <w:rsid w:val="006921E1"/>
    <w:rsid w:val="006B5CF3"/>
    <w:rsid w:val="006B6DEA"/>
    <w:rsid w:val="006C22C3"/>
    <w:rsid w:val="006C50A9"/>
    <w:rsid w:val="006E5363"/>
    <w:rsid w:val="006F4B25"/>
    <w:rsid w:val="006F6496"/>
    <w:rsid w:val="00705102"/>
    <w:rsid w:val="0071289F"/>
    <w:rsid w:val="00736348"/>
    <w:rsid w:val="0074542B"/>
    <w:rsid w:val="00760908"/>
    <w:rsid w:val="00762050"/>
    <w:rsid w:val="007626AD"/>
    <w:rsid w:val="007814FA"/>
    <w:rsid w:val="00782819"/>
    <w:rsid w:val="00785C64"/>
    <w:rsid w:val="007862CB"/>
    <w:rsid w:val="00796ABA"/>
    <w:rsid w:val="007A06EA"/>
    <w:rsid w:val="007B5756"/>
    <w:rsid w:val="007B58C0"/>
    <w:rsid w:val="007F238D"/>
    <w:rsid w:val="00815C6E"/>
    <w:rsid w:val="00817912"/>
    <w:rsid w:val="008265B8"/>
    <w:rsid w:val="008340EB"/>
    <w:rsid w:val="00843477"/>
    <w:rsid w:val="008478D2"/>
    <w:rsid w:val="008604F9"/>
    <w:rsid w:val="00861B92"/>
    <w:rsid w:val="008814FB"/>
    <w:rsid w:val="0089185A"/>
    <w:rsid w:val="008A0F0D"/>
    <w:rsid w:val="008A560E"/>
    <w:rsid w:val="008F5E30"/>
    <w:rsid w:val="00903F28"/>
    <w:rsid w:val="00914D7F"/>
    <w:rsid w:val="009154A1"/>
    <w:rsid w:val="00924B4D"/>
    <w:rsid w:val="00957BB4"/>
    <w:rsid w:val="009A36E1"/>
    <w:rsid w:val="009A4C6C"/>
    <w:rsid w:val="009A56B6"/>
    <w:rsid w:val="009D1D63"/>
    <w:rsid w:val="009D2D89"/>
    <w:rsid w:val="009D4049"/>
    <w:rsid w:val="009E680B"/>
    <w:rsid w:val="009E6FE4"/>
    <w:rsid w:val="00A040E3"/>
    <w:rsid w:val="00A15A1F"/>
    <w:rsid w:val="00A21740"/>
    <w:rsid w:val="00A22140"/>
    <w:rsid w:val="00A2498A"/>
    <w:rsid w:val="00A30BE5"/>
    <w:rsid w:val="00A3325A"/>
    <w:rsid w:val="00A37D29"/>
    <w:rsid w:val="00A43013"/>
    <w:rsid w:val="00A56371"/>
    <w:rsid w:val="00A77BA3"/>
    <w:rsid w:val="00A926BE"/>
    <w:rsid w:val="00AA495B"/>
    <w:rsid w:val="00AA77C9"/>
    <w:rsid w:val="00AC4F22"/>
    <w:rsid w:val="00AF108A"/>
    <w:rsid w:val="00B02E55"/>
    <w:rsid w:val="00B036C1"/>
    <w:rsid w:val="00B07CF8"/>
    <w:rsid w:val="00B16E88"/>
    <w:rsid w:val="00B22175"/>
    <w:rsid w:val="00B23FC2"/>
    <w:rsid w:val="00B301FF"/>
    <w:rsid w:val="00B3205E"/>
    <w:rsid w:val="00B3244C"/>
    <w:rsid w:val="00B5431F"/>
    <w:rsid w:val="00B54D4F"/>
    <w:rsid w:val="00B57ABA"/>
    <w:rsid w:val="00B67058"/>
    <w:rsid w:val="00B911B4"/>
    <w:rsid w:val="00BA6DDF"/>
    <w:rsid w:val="00BF1941"/>
    <w:rsid w:val="00BF7FE0"/>
    <w:rsid w:val="00C26E9B"/>
    <w:rsid w:val="00C66C47"/>
    <w:rsid w:val="00C81104"/>
    <w:rsid w:val="00C96411"/>
    <w:rsid w:val="00CB5671"/>
    <w:rsid w:val="00CD4D55"/>
    <w:rsid w:val="00CE6085"/>
    <w:rsid w:val="00CF0D16"/>
    <w:rsid w:val="00CF182D"/>
    <w:rsid w:val="00CF4C38"/>
    <w:rsid w:val="00CF4CB8"/>
    <w:rsid w:val="00CF58B7"/>
    <w:rsid w:val="00D06F5F"/>
    <w:rsid w:val="00D11DF0"/>
    <w:rsid w:val="00D17CA1"/>
    <w:rsid w:val="00D3098C"/>
    <w:rsid w:val="00D30CEF"/>
    <w:rsid w:val="00D351C1"/>
    <w:rsid w:val="00D35EFB"/>
    <w:rsid w:val="00D504B3"/>
    <w:rsid w:val="00D52BAB"/>
    <w:rsid w:val="00D616A5"/>
    <w:rsid w:val="00D73A67"/>
    <w:rsid w:val="00D75210"/>
    <w:rsid w:val="00D75C4B"/>
    <w:rsid w:val="00D75EAF"/>
    <w:rsid w:val="00D86B57"/>
    <w:rsid w:val="00D86BF0"/>
    <w:rsid w:val="00DA3956"/>
    <w:rsid w:val="00DB6773"/>
    <w:rsid w:val="00DC061F"/>
    <w:rsid w:val="00DF4F32"/>
    <w:rsid w:val="00E3457E"/>
    <w:rsid w:val="00E51920"/>
    <w:rsid w:val="00E53710"/>
    <w:rsid w:val="00E54947"/>
    <w:rsid w:val="00E64120"/>
    <w:rsid w:val="00E6563D"/>
    <w:rsid w:val="00E660A1"/>
    <w:rsid w:val="00E7696F"/>
    <w:rsid w:val="00E80CFC"/>
    <w:rsid w:val="00E83FC9"/>
    <w:rsid w:val="00E9192D"/>
    <w:rsid w:val="00EA3CCF"/>
    <w:rsid w:val="00EB683F"/>
    <w:rsid w:val="00EC2231"/>
    <w:rsid w:val="00EC5D7F"/>
    <w:rsid w:val="00EE5F8E"/>
    <w:rsid w:val="00F04AA5"/>
    <w:rsid w:val="00F04D22"/>
    <w:rsid w:val="00F055F1"/>
    <w:rsid w:val="00F21681"/>
    <w:rsid w:val="00F23D15"/>
    <w:rsid w:val="00F2524B"/>
    <w:rsid w:val="00F30915"/>
    <w:rsid w:val="00F36BF5"/>
    <w:rsid w:val="00F610AF"/>
    <w:rsid w:val="00FA2C5A"/>
    <w:rsid w:val="00FA3F50"/>
    <w:rsid w:val="00FC2D11"/>
    <w:rsid w:val="00FC6230"/>
    <w:rsid w:val="00FE768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8D54B"/>
  <w15:docId w15:val="{2A6D42F0-58B8-4439-BE87-C361A60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rsid w:val="000C3AB4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38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3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63"/>
    <w:rPr>
      <w:b/>
      <w:bCs/>
    </w:rPr>
  </w:style>
  <w:style w:type="paragraph" w:customStyle="1" w:styleId="Default">
    <w:name w:val="Default"/>
    <w:rsid w:val="00B54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D5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66C47"/>
    <w:rPr>
      <w:color w:val="800080" w:themeColor="followedHyperlink"/>
      <w:u w:val="single"/>
    </w:rPr>
  </w:style>
  <w:style w:type="paragraph" w:customStyle="1" w:styleId="Title2">
    <w:name w:val="Title 2"/>
    <w:basedOn w:val="Normal"/>
    <w:rsid w:val="00D73A67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6314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148D"/>
  </w:style>
  <w:style w:type="character" w:styleId="FootnoteReference">
    <w:name w:val="footnote reference"/>
    <w:basedOn w:val="DefaultParagraphFont"/>
    <w:semiHidden/>
    <w:unhideWhenUsed/>
    <w:rsid w:val="00631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en.facey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pact-hta.eu/work-package-10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512D-FDF5-4259-8D06-8519B18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Alexion Pharmaceuticals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Kent</dc:creator>
  <cp:lastModifiedBy>Karen Facey</cp:lastModifiedBy>
  <cp:revision>4</cp:revision>
  <cp:lastPrinted>2018-08-13T10:04:00Z</cp:lastPrinted>
  <dcterms:created xsi:type="dcterms:W3CDTF">2021-03-29T20:06:00Z</dcterms:created>
  <dcterms:modified xsi:type="dcterms:W3CDTF">2021-03-31T11:35:00Z</dcterms:modified>
</cp:coreProperties>
</file>